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69" w:rsidRDefault="001A3369" w:rsidP="001A3369">
      <w:pPr>
        <w:jc w:val="center"/>
        <w:rPr>
          <w:rFonts w:ascii="Arial" w:hAnsi="Arial" w:cs="Arial"/>
          <w:b/>
          <w:bCs/>
          <w:u w:val="single"/>
        </w:rPr>
      </w:pPr>
      <w:r>
        <w:rPr>
          <w:rFonts w:ascii="Arial" w:hAnsi="Arial" w:cs="Arial"/>
          <w:b/>
          <w:bCs/>
        </w:rPr>
        <w:t xml:space="preserve">*REVISED* </w:t>
      </w:r>
      <w:bookmarkStart w:id="0" w:name="_GoBack"/>
      <w:bookmarkEnd w:id="0"/>
      <w:r>
        <w:rPr>
          <w:rFonts w:ascii="Arial" w:hAnsi="Arial" w:cs="Arial"/>
          <w:b/>
          <w:bCs/>
        </w:rPr>
        <w:t>SECTION 6</w:t>
      </w:r>
    </w:p>
    <w:p w:rsidR="001A3369" w:rsidRDefault="001A3369" w:rsidP="001A3369">
      <w:pPr>
        <w:jc w:val="center"/>
        <w:rPr>
          <w:rFonts w:ascii="Arial" w:hAnsi="Arial" w:cs="Arial"/>
          <w:b/>
          <w:bCs/>
          <w:u w:val="single"/>
        </w:rPr>
      </w:pPr>
    </w:p>
    <w:p w:rsidR="001A3369" w:rsidRDefault="001A3369" w:rsidP="001A3369">
      <w:pPr>
        <w:tabs>
          <w:tab w:val="left" w:pos="4660"/>
        </w:tabs>
        <w:jc w:val="center"/>
        <w:rPr>
          <w:rFonts w:ascii="Arial" w:hAnsi="Arial" w:cs="Arial"/>
        </w:rPr>
      </w:pPr>
      <w:r>
        <w:rPr>
          <w:rFonts w:ascii="Arial" w:hAnsi="Arial" w:cs="Arial"/>
          <w:b/>
          <w:bCs/>
          <w:u w:val="single"/>
        </w:rPr>
        <w:t>PRICING AND DELIVERY SCHEDULE</w:t>
      </w:r>
    </w:p>
    <w:p w:rsidR="001A3369" w:rsidRDefault="001A3369" w:rsidP="001A3369">
      <w:pPr>
        <w:rPr>
          <w:rFonts w:ascii="Arial" w:hAnsi="Arial" w:cs="Arial"/>
        </w:rPr>
      </w:pPr>
    </w:p>
    <w:p w:rsidR="001A3369" w:rsidRDefault="001A3369" w:rsidP="001A3369">
      <w:pPr>
        <w:rPr>
          <w:rFonts w:ascii="Arial" w:hAnsi="Arial" w:cs="Arial"/>
        </w:rPr>
      </w:pPr>
    </w:p>
    <w:p w:rsidR="001A3369" w:rsidRDefault="001A3369" w:rsidP="001A3369">
      <w:pPr>
        <w:rPr>
          <w:rFonts w:ascii="Arial" w:hAnsi="Arial" w:cs="Arial"/>
        </w:rPr>
      </w:pPr>
      <w:r>
        <w:rPr>
          <w:rFonts w:ascii="Arial" w:hAnsi="Arial" w:cs="Arial"/>
          <w:b/>
          <w:bCs/>
        </w:rPr>
        <w:t>Proposal of:</w:t>
      </w:r>
      <w:r>
        <w:rPr>
          <w:rFonts w:ascii="Arial" w:hAnsi="Arial" w:cs="Arial"/>
        </w:rPr>
        <w:t xml:space="preserve">  ___________________________________ </w:t>
      </w:r>
    </w:p>
    <w:p w:rsidR="001A3369" w:rsidRDefault="001A3369" w:rsidP="001A336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1A3369" w:rsidRDefault="001A3369" w:rsidP="001A3369">
      <w:pPr>
        <w:rPr>
          <w:rFonts w:ascii="Arial" w:hAnsi="Arial" w:cs="Arial"/>
        </w:rPr>
      </w:pPr>
    </w:p>
    <w:p w:rsidR="001A3369" w:rsidRDefault="001A3369" w:rsidP="001A336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Health Science Center at Houston </w:t>
      </w:r>
    </w:p>
    <w:p w:rsidR="001A3369" w:rsidRDefault="001A3369" w:rsidP="001A3369">
      <w:pPr>
        <w:rPr>
          <w:rFonts w:ascii="Arial" w:hAnsi="Arial" w:cs="Arial"/>
        </w:rPr>
      </w:pPr>
    </w:p>
    <w:p w:rsidR="001A3369" w:rsidRDefault="001A3369" w:rsidP="001A336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t>Elevator Modernization &amp; Campus Wide Maintenance Services</w:t>
      </w:r>
    </w:p>
    <w:p w:rsidR="001A3369" w:rsidRDefault="001A3369" w:rsidP="001A3369">
      <w:pPr>
        <w:tabs>
          <w:tab w:val="left" w:pos="1080"/>
        </w:tabs>
        <w:rPr>
          <w:rFonts w:ascii="Arial" w:hAnsi="Arial" w:cs="Arial"/>
        </w:rPr>
      </w:pPr>
    </w:p>
    <w:p w:rsidR="001A3369" w:rsidRDefault="001A3369" w:rsidP="001A3369">
      <w:pPr>
        <w:tabs>
          <w:tab w:val="left" w:pos="1440"/>
        </w:tabs>
        <w:rPr>
          <w:rFonts w:ascii="Arial" w:hAnsi="Arial" w:cs="Arial"/>
        </w:rPr>
      </w:pPr>
      <w:r>
        <w:rPr>
          <w:rFonts w:ascii="Arial" w:hAnsi="Arial" w:cs="Arial"/>
          <w:b/>
          <w:bCs/>
        </w:rPr>
        <w:t>RFP No.:</w:t>
      </w:r>
      <w:r>
        <w:rPr>
          <w:rFonts w:ascii="Arial" w:hAnsi="Arial" w:cs="Arial"/>
        </w:rPr>
        <w:t xml:space="preserve">  744-R1606 Elevator Modernization &amp; Campus Wide Maintenance Services </w:t>
      </w:r>
    </w:p>
    <w:p w:rsidR="001A3369" w:rsidRDefault="001A3369" w:rsidP="001A3369">
      <w:pPr>
        <w:rPr>
          <w:rFonts w:ascii="Arial" w:hAnsi="Arial" w:cs="Arial"/>
        </w:rPr>
      </w:pPr>
    </w:p>
    <w:p w:rsidR="001A3369" w:rsidRDefault="001A3369" w:rsidP="001A3369">
      <w:pPr>
        <w:rPr>
          <w:rFonts w:ascii="Arial" w:hAnsi="Arial" w:cs="Arial"/>
        </w:rPr>
      </w:pPr>
    </w:p>
    <w:p w:rsidR="001A3369" w:rsidRDefault="001A3369" w:rsidP="001A3369">
      <w:pPr>
        <w:rPr>
          <w:rFonts w:ascii="Arial" w:hAnsi="Arial" w:cs="Arial"/>
        </w:rPr>
      </w:pPr>
      <w:r>
        <w:rPr>
          <w:rFonts w:ascii="Arial" w:hAnsi="Arial" w:cs="Arial"/>
        </w:rPr>
        <w:t>Ladies and Gentlemen:  </w:t>
      </w:r>
    </w:p>
    <w:p w:rsidR="001A3369" w:rsidRDefault="001A3369" w:rsidP="001A3369">
      <w:pPr>
        <w:rPr>
          <w:rFonts w:ascii="Arial" w:hAnsi="Arial" w:cs="Arial"/>
        </w:rPr>
      </w:pPr>
    </w:p>
    <w:p w:rsidR="001A3369" w:rsidRDefault="001A3369" w:rsidP="001A3369">
      <w:pPr>
        <w:rPr>
          <w:rFonts w:ascii="Arial" w:hAnsi="Arial" w:cs="Arial"/>
        </w:rPr>
      </w:pPr>
      <w:r>
        <w:t>Having carefully examined the Project Requirements, the Specifications and any Addenda to the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1A3369" w:rsidRDefault="001A3369" w:rsidP="001A3369">
      <w:pPr>
        <w:rPr>
          <w:rFonts w:ascii="Arial" w:hAnsi="Arial" w:cs="Arial"/>
        </w:rPr>
      </w:pPr>
    </w:p>
    <w:p w:rsidR="001A3369" w:rsidRDefault="001A3369" w:rsidP="001A3369">
      <w:pPr>
        <w:ind w:left="720" w:hanging="720"/>
        <w:rPr>
          <w:rFonts w:ascii="Arial" w:hAnsi="Arial" w:cs="Arial"/>
          <w:b/>
          <w:bCs/>
        </w:rPr>
      </w:pPr>
      <w:r w:rsidRPr="001A3369">
        <w:rPr>
          <w:rFonts w:ascii="Arial" w:hAnsi="Arial" w:cs="Arial"/>
          <w:b/>
          <w:bCs/>
        </w:rPr>
        <w:t>6.1</w:t>
      </w:r>
      <w:r w:rsidRPr="001A3369">
        <w:rPr>
          <w:rFonts w:ascii="Arial" w:hAnsi="Arial" w:cs="Arial"/>
          <w:b/>
          <w:bCs/>
        </w:rPr>
        <w:tab/>
      </w:r>
      <w:proofErr w:type="gramStart"/>
      <w:r w:rsidRPr="001A3369">
        <w:rPr>
          <w:rFonts w:ascii="Arial" w:hAnsi="Arial" w:cs="Arial"/>
          <w:b/>
          <w:bCs/>
        </w:rPr>
        <w:t>Bid</w:t>
      </w:r>
      <w:proofErr w:type="gramEnd"/>
      <w:r w:rsidRPr="001A3369">
        <w:rPr>
          <w:rFonts w:ascii="Arial" w:hAnsi="Arial" w:cs="Arial"/>
          <w:b/>
          <w:bCs/>
        </w:rPr>
        <w:t xml:space="preserve"> per Facility</w:t>
      </w:r>
    </w:p>
    <w:p w:rsidR="001A3369" w:rsidRDefault="001A3369" w:rsidP="001A3369">
      <w:pPr>
        <w:rPr>
          <w:rFonts w:ascii="Arial" w:hAnsi="Arial" w:cs="Arial"/>
        </w:rPr>
      </w:pPr>
      <w:r>
        <w:rPr>
          <w:rFonts w:ascii="Arial" w:hAnsi="Arial" w:cs="Arial"/>
        </w:rPr>
        <w:tab/>
      </w:r>
    </w:p>
    <w:tbl>
      <w:tblPr>
        <w:tblW w:w="8920" w:type="dxa"/>
        <w:tblInd w:w="93" w:type="dxa"/>
        <w:tblLook w:val="04A0" w:firstRow="1" w:lastRow="0" w:firstColumn="1" w:lastColumn="0" w:noHBand="0" w:noVBand="1"/>
      </w:tblPr>
      <w:tblGrid>
        <w:gridCol w:w="5700"/>
        <w:gridCol w:w="3220"/>
      </w:tblGrid>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University Center Tower (UCT) - 7000 Fannin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Provide new openings at Basement Level for Elevator Nos. 1 &amp; 2.</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Retention of existing governors at UCT</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Medical School Building (MSB) - 6431 Fannin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lastRenderedPageBreak/>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Retention of existing governors at MSB</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 xml:space="preserve">School of Public Health (SPH/RAS) - 1200 </w:t>
            </w:r>
            <w:proofErr w:type="spellStart"/>
            <w:r w:rsidRPr="001A3369">
              <w:rPr>
                <w:rFonts w:ascii="Calibri" w:eastAsia="Times New Roman" w:hAnsi="Calibri"/>
                <w:b/>
                <w:bCs/>
                <w:color w:val="000000"/>
                <w:szCs w:val="22"/>
              </w:rPr>
              <w:t>Pressler</w:t>
            </w:r>
            <w:proofErr w:type="spellEnd"/>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perform Modernization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Unit price (per opening) to replace hoist-way sills with new aluminum sills.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ALTERNATE - Unit price (per opening) to replace re-clad hoist-way door panels.</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Modernization Interim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 xml:space="preserve">Operations Center Building (OCB) - 1851 </w:t>
            </w:r>
            <w:proofErr w:type="spellStart"/>
            <w:r w:rsidRPr="001A3369">
              <w:rPr>
                <w:rFonts w:ascii="Calibri" w:eastAsia="Times New Roman" w:hAnsi="Calibri"/>
                <w:b/>
                <w:bCs/>
                <w:color w:val="000000"/>
                <w:szCs w:val="22"/>
              </w:rPr>
              <w:t>Crosspoint</w:t>
            </w:r>
            <w:proofErr w:type="spellEnd"/>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 xml:space="preserve">Institute of Molecular Medicine (IMM/SRB) - 1825 </w:t>
            </w:r>
            <w:proofErr w:type="spellStart"/>
            <w:r w:rsidRPr="001A3369">
              <w:rPr>
                <w:rFonts w:ascii="Calibri" w:eastAsia="Times New Roman" w:hAnsi="Calibri"/>
                <w:b/>
                <w:bCs/>
                <w:color w:val="000000"/>
                <w:szCs w:val="22"/>
              </w:rPr>
              <w:t>Pressler</w:t>
            </w:r>
            <w:proofErr w:type="spellEnd"/>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 xml:space="preserve">School of Nursing (SON) - 6901 </w:t>
            </w:r>
            <w:proofErr w:type="spellStart"/>
            <w:r w:rsidRPr="001A3369">
              <w:rPr>
                <w:rFonts w:ascii="Calibri" w:eastAsia="Times New Roman" w:hAnsi="Calibri"/>
                <w:b/>
                <w:bCs/>
                <w:color w:val="000000"/>
                <w:szCs w:val="22"/>
              </w:rPr>
              <w:t>Bertner</w:t>
            </w:r>
            <w:proofErr w:type="spellEnd"/>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Harris County Psychiatric Center (HCPC) 2800 S. McGregor</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Medical School Expansion (MSE) - 6431A Fannin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lastRenderedPageBreak/>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University of Texas Professional Building (UTPB) - 6410 Fannin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University of Texas Professional Building Garage  (UTPB-G) - 6410 Fannin</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UT Housing - 1885 El Paseo</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 xml:space="preserve">Cyclotron Facility (CYF)- 6431 Fannin </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Behavioral and Biomedical Sciences (BBS) - 1941 East Rd</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150"/>
        </w:trPr>
        <w:tc>
          <w:tcPr>
            <w:tcW w:w="5700" w:type="dxa"/>
            <w:tcBorders>
              <w:top w:val="nil"/>
              <w:left w:val="nil"/>
              <w:bottom w:val="nil"/>
              <w:right w:val="nil"/>
            </w:tcBorders>
            <w:shd w:val="clear" w:color="000000" w:fill="BFBFBF"/>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c>
          <w:tcPr>
            <w:tcW w:w="3220" w:type="dxa"/>
            <w:tcBorders>
              <w:top w:val="nil"/>
              <w:left w:val="nil"/>
              <w:bottom w:val="nil"/>
              <w:right w:val="nil"/>
            </w:tcBorders>
            <w:shd w:val="clear" w:color="000000" w:fill="BFBFBF"/>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w:t>
            </w: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b/>
                <w:bCs/>
                <w:color w:val="000000"/>
                <w:szCs w:val="22"/>
              </w:rPr>
            </w:pPr>
            <w:r w:rsidRPr="001A3369">
              <w:rPr>
                <w:rFonts w:ascii="Calibri" w:eastAsia="Times New Roman" w:hAnsi="Calibri"/>
                <w:b/>
                <w:bCs/>
                <w:color w:val="000000"/>
                <w:szCs w:val="22"/>
              </w:rPr>
              <w:t>School of Dentistry (SOD) - 7500 Cambridge</w:t>
            </w:r>
          </w:p>
        </w:tc>
        <w:tc>
          <w:tcPr>
            <w:tcW w:w="3220" w:type="dxa"/>
            <w:tcBorders>
              <w:top w:val="nil"/>
              <w:left w:val="nil"/>
              <w:bottom w:val="nil"/>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p>
        </w:tc>
      </w:tr>
      <w:tr w:rsidR="001A3369" w:rsidRPr="001A3369" w:rsidTr="001A3369">
        <w:trPr>
          <w:trHeight w:val="3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Price to install Lift-Net Monitoring</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r w:rsidR="001A3369" w:rsidRPr="001A3369" w:rsidTr="001A3369">
        <w:trPr>
          <w:trHeight w:val="600"/>
        </w:trPr>
        <w:tc>
          <w:tcPr>
            <w:tcW w:w="5700" w:type="dxa"/>
            <w:tcBorders>
              <w:top w:val="nil"/>
              <w:left w:val="nil"/>
              <w:bottom w:val="nil"/>
              <w:right w:val="nil"/>
            </w:tcBorders>
            <w:shd w:val="clear" w:color="auto" w:fill="auto"/>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Monthly price to perform Preventative Maintenance per specification</w:t>
            </w:r>
          </w:p>
        </w:tc>
        <w:tc>
          <w:tcPr>
            <w:tcW w:w="3220" w:type="dxa"/>
            <w:tcBorders>
              <w:top w:val="nil"/>
              <w:left w:val="nil"/>
              <w:bottom w:val="single" w:sz="4" w:space="0" w:color="auto"/>
              <w:right w:val="nil"/>
            </w:tcBorders>
            <w:shd w:val="clear" w:color="auto" w:fill="auto"/>
            <w:noWrap/>
            <w:vAlign w:val="bottom"/>
            <w:hideMark/>
          </w:tcPr>
          <w:p w:rsidR="001A3369" w:rsidRPr="001A3369" w:rsidRDefault="001A3369" w:rsidP="001A3369">
            <w:pPr>
              <w:jc w:val="left"/>
              <w:rPr>
                <w:rFonts w:ascii="Calibri" w:eastAsia="Times New Roman" w:hAnsi="Calibri"/>
                <w:color w:val="000000"/>
                <w:szCs w:val="22"/>
              </w:rPr>
            </w:pPr>
            <w:r w:rsidRPr="001A3369">
              <w:rPr>
                <w:rFonts w:ascii="Calibri" w:eastAsia="Times New Roman" w:hAnsi="Calibri"/>
                <w:color w:val="000000"/>
                <w:szCs w:val="22"/>
              </w:rPr>
              <w:t xml:space="preserve">$                      </w:t>
            </w:r>
          </w:p>
        </w:tc>
      </w:tr>
    </w:tbl>
    <w:p w:rsidR="001A3369" w:rsidRDefault="001A3369" w:rsidP="001A3369">
      <w:pPr>
        <w:ind w:left="360"/>
        <w:rPr>
          <w:rFonts w:ascii="Arial" w:hAnsi="Arial" w:cs="Arial"/>
        </w:rPr>
      </w:pPr>
    </w:p>
    <w:p w:rsidR="001A3369" w:rsidRDefault="001A3369" w:rsidP="001A3369">
      <w:pPr>
        <w:rPr>
          <w:rFonts w:ascii="Arial" w:hAnsi="Arial" w:cs="Arial"/>
        </w:rPr>
      </w:pPr>
    </w:p>
    <w:p w:rsidR="001A3369" w:rsidRDefault="001A3369" w:rsidP="001A3369">
      <w:pPr>
        <w:ind w:left="720" w:hanging="720"/>
        <w:rPr>
          <w:rFonts w:ascii="Arial" w:hAnsi="Arial" w:cs="Arial"/>
          <w:b/>
          <w:bCs/>
        </w:rPr>
      </w:pPr>
      <w:r>
        <w:rPr>
          <w:rFonts w:ascii="Arial" w:hAnsi="Arial" w:cs="Arial"/>
          <w:b/>
          <w:bCs/>
        </w:rPr>
        <w:t>6.2</w:t>
      </w:r>
      <w:r>
        <w:rPr>
          <w:rFonts w:ascii="Arial" w:hAnsi="Arial" w:cs="Arial"/>
          <w:b/>
          <w:bCs/>
        </w:rPr>
        <w:tab/>
      </w:r>
      <w:proofErr w:type="gramStart"/>
      <w:r>
        <w:rPr>
          <w:rFonts w:ascii="Arial" w:hAnsi="Arial" w:cs="Arial"/>
          <w:b/>
          <w:bCs/>
        </w:rPr>
        <w:t>Bid</w:t>
      </w:r>
      <w:proofErr w:type="gramEnd"/>
      <w:r>
        <w:rPr>
          <w:rFonts w:ascii="Arial" w:hAnsi="Arial" w:cs="Arial"/>
          <w:b/>
          <w:bCs/>
        </w:rPr>
        <w:t xml:space="preserve"> per Unit for Optional Items</w:t>
      </w:r>
    </w:p>
    <w:p w:rsidR="001A3369" w:rsidRDefault="001A3369" w:rsidP="001A3369">
      <w:pPr>
        <w:ind w:left="720" w:hanging="720"/>
        <w:rPr>
          <w:rFonts w:ascii="Arial" w:hAnsi="Arial" w:cs="Arial"/>
          <w:b/>
          <w:bCs/>
        </w:rPr>
      </w:pPr>
      <w:r>
        <w:rPr>
          <w:rFonts w:ascii="Arial" w:hAnsi="Arial" w:cs="Arial"/>
          <w:b/>
          <w:bCs/>
        </w:rPr>
        <w:tab/>
      </w:r>
    </w:p>
    <w:tbl>
      <w:tblPr>
        <w:tblW w:w="8920" w:type="dxa"/>
        <w:tblInd w:w="648" w:type="dxa"/>
        <w:tblLook w:val="04A0" w:firstRow="1" w:lastRow="0" w:firstColumn="1" w:lastColumn="0" w:noHBand="0" w:noVBand="1"/>
      </w:tblPr>
      <w:tblGrid>
        <w:gridCol w:w="5700"/>
        <w:gridCol w:w="3220"/>
      </w:tblGrid>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b/>
                <w:bCs/>
                <w:color w:val="000000"/>
                <w:szCs w:val="22"/>
              </w:rPr>
            </w:pPr>
            <w:r w:rsidRPr="008428C5">
              <w:rPr>
                <w:rFonts w:ascii="Calibri" w:eastAsia="Times New Roman" w:hAnsi="Calibri"/>
                <w:b/>
                <w:bCs/>
                <w:color w:val="000000"/>
                <w:szCs w:val="22"/>
              </w:rPr>
              <w:t>Billable Rates per hour</w:t>
            </w:r>
          </w:p>
        </w:tc>
        <w:tc>
          <w:tcPr>
            <w:tcW w:w="3220" w:type="dxa"/>
            <w:tcBorders>
              <w:top w:val="nil"/>
              <w:left w:val="nil"/>
              <w:bottom w:val="nil"/>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Technician Regular Time Billing Rate</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Apprentice Regular Time Billing Rate</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Technician 1.5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Apprentice 1.5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lastRenderedPageBreak/>
              <w:t xml:space="preserve">Technician 1.7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Apprentice 1.7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Technician 2.0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r w:rsidR="001A3369" w:rsidRPr="008428C5" w:rsidTr="00616747">
        <w:trPr>
          <w:trHeight w:val="300"/>
        </w:trPr>
        <w:tc>
          <w:tcPr>
            <w:tcW w:w="5700" w:type="dxa"/>
            <w:tcBorders>
              <w:top w:val="nil"/>
              <w:left w:val="nil"/>
              <w:bottom w:val="nil"/>
              <w:right w:val="nil"/>
            </w:tcBorders>
            <w:shd w:val="clear" w:color="auto" w:fill="auto"/>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Apprentice 2.0 OT Premium Portion </w:t>
            </w:r>
          </w:p>
        </w:tc>
        <w:tc>
          <w:tcPr>
            <w:tcW w:w="3220" w:type="dxa"/>
            <w:tcBorders>
              <w:top w:val="nil"/>
              <w:left w:val="nil"/>
              <w:bottom w:val="single" w:sz="4" w:space="0" w:color="auto"/>
              <w:right w:val="nil"/>
            </w:tcBorders>
            <w:shd w:val="clear" w:color="auto" w:fill="auto"/>
            <w:noWrap/>
            <w:vAlign w:val="bottom"/>
            <w:hideMark/>
          </w:tcPr>
          <w:p w:rsidR="001A3369" w:rsidRPr="008428C5" w:rsidRDefault="001A3369" w:rsidP="00616747">
            <w:pPr>
              <w:jc w:val="left"/>
              <w:rPr>
                <w:rFonts w:ascii="Calibri" w:eastAsia="Times New Roman" w:hAnsi="Calibri"/>
                <w:color w:val="000000"/>
                <w:szCs w:val="22"/>
              </w:rPr>
            </w:pPr>
            <w:r w:rsidRPr="008428C5">
              <w:rPr>
                <w:rFonts w:ascii="Calibri" w:eastAsia="Times New Roman" w:hAnsi="Calibri"/>
                <w:color w:val="000000"/>
                <w:szCs w:val="22"/>
              </w:rPr>
              <w:t xml:space="preserve">$                      </w:t>
            </w:r>
          </w:p>
        </w:tc>
      </w:tr>
    </w:tbl>
    <w:p w:rsidR="001A3369" w:rsidRDefault="001A3369" w:rsidP="001A3369">
      <w:pPr>
        <w:rPr>
          <w:rFonts w:ascii="Arial" w:hAnsi="Arial" w:cs="Arial"/>
          <w:b/>
          <w:bCs/>
        </w:rPr>
      </w:pPr>
    </w:p>
    <w:p w:rsidR="001A3369" w:rsidRDefault="001A3369" w:rsidP="001A3369">
      <w:pPr>
        <w:rPr>
          <w:rFonts w:ascii="Arial" w:hAnsi="Arial" w:cs="Arial"/>
          <w:b/>
          <w:bCs/>
        </w:rPr>
      </w:pPr>
      <w:r>
        <w:rPr>
          <w:rFonts w:ascii="Arial" w:hAnsi="Arial" w:cs="Arial"/>
          <w:b/>
          <w:bCs/>
        </w:rPr>
        <w:t>6.3</w:t>
      </w:r>
      <w:r>
        <w:rPr>
          <w:rFonts w:ascii="Arial" w:hAnsi="Arial" w:cs="Arial"/>
          <w:b/>
          <w:bCs/>
        </w:rPr>
        <w:tab/>
        <w:t xml:space="preserve">Base Delivery Schedule </w:t>
      </w:r>
    </w:p>
    <w:p w:rsidR="001A3369" w:rsidRDefault="001A3369" w:rsidP="001A3369">
      <w:pPr>
        <w:tabs>
          <w:tab w:val="left" w:pos="720"/>
        </w:tabs>
        <w:rPr>
          <w:rFonts w:ascii="Arial" w:hAnsi="Arial" w:cs="Arial"/>
        </w:rPr>
      </w:pPr>
    </w:p>
    <w:p w:rsidR="001A3369" w:rsidRDefault="001A3369" w:rsidP="001A3369">
      <w:pPr>
        <w:rPr>
          <w:rFonts w:ascii="Arial" w:hAnsi="Arial" w:cs="Arial"/>
          <w:szCs w:val="22"/>
        </w:rPr>
      </w:pPr>
      <w:r>
        <w:rPr>
          <w:rFonts w:ascii="Arial" w:hAnsi="Arial" w:cs="Arial"/>
          <w:szCs w:val="22"/>
        </w:rPr>
        <w:tab/>
        <w:t>Calendar Days to Complete Modernization Project at UCT _________________</w:t>
      </w:r>
    </w:p>
    <w:p w:rsidR="001A3369" w:rsidRDefault="001A3369" w:rsidP="001A3369">
      <w:pPr>
        <w:rPr>
          <w:rFonts w:ascii="Arial" w:hAnsi="Arial" w:cs="Arial"/>
          <w:szCs w:val="22"/>
        </w:rPr>
      </w:pPr>
    </w:p>
    <w:p w:rsidR="001A3369" w:rsidRDefault="001A3369" w:rsidP="001A3369">
      <w:pPr>
        <w:rPr>
          <w:rFonts w:ascii="Arial" w:hAnsi="Arial" w:cs="Arial"/>
          <w:szCs w:val="22"/>
        </w:rPr>
      </w:pPr>
      <w:r>
        <w:rPr>
          <w:rFonts w:ascii="Arial" w:hAnsi="Arial" w:cs="Arial"/>
          <w:szCs w:val="22"/>
        </w:rPr>
        <w:tab/>
        <w:t>Calendar Days to Complete Modernization Project at MSB _________________</w:t>
      </w:r>
    </w:p>
    <w:p w:rsidR="001A3369" w:rsidRDefault="001A3369" w:rsidP="001A3369">
      <w:pPr>
        <w:rPr>
          <w:rFonts w:ascii="Arial" w:hAnsi="Arial" w:cs="Arial"/>
          <w:szCs w:val="22"/>
        </w:rPr>
      </w:pPr>
    </w:p>
    <w:p w:rsidR="001A3369" w:rsidRDefault="001A3369" w:rsidP="001A3369">
      <w:pPr>
        <w:rPr>
          <w:rFonts w:ascii="Arial" w:hAnsi="Arial" w:cs="Arial"/>
          <w:szCs w:val="22"/>
        </w:rPr>
      </w:pPr>
      <w:r>
        <w:rPr>
          <w:rFonts w:ascii="Arial" w:hAnsi="Arial" w:cs="Arial"/>
          <w:szCs w:val="22"/>
        </w:rPr>
        <w:tab/>
        <w:t>Calendar Days to Complete Modernization Project at SPH _________________</w:t>
      </w:r>
    </w:p>
    <w:p w:rsidR="001A3369" w:rsidRDefault="001A3369" w:rsidP="001A3369">
      <w:pPr>
        <w:rPr>
          <w:rFonts w:ascii="Arial" w:hAnsi="Arial" w:cs="Arial"/>
          <w:szCs w:val="22"/>
        </w:rPr>
      </w:pPr>
    </w:p>
    <w:p w:rsidR="001A3369" w:rsidRDefault="001A3369" w:rsidP="001A3369">
      <w:pPr>
        <w:rPr>
          <w:rFonts w:ascii="Arial" w:hAnsi="Arial" w:cs="Arial"/>
          <w:szCs w:val="22"/>
        </w:rPr>
      </w:pPr>
      <w:r>
        <w:rPr>
          <w:rFonts w:ascii="Arial" w:hAnsi="Arial" w:cs="Arial"/>
          <w:szCs w:val="22"/>
        </w:rPr>
        <w:tab/>
        <w:t>Calendar Days to Complete Campus Monitoring System __________________</w:t>
      </w:r>
    </w:p>
    <w:p w:rsidR="001A3369" w:rsidRDefault="001A3369" w:rsidP="001A3369">
      <w:pPr>
        <w:rPr>
          <w:rFonts w:ascii="Arial" w:hAnsi="Arial" w:cs="Arial"/>
          <w:szCs w:val="22"/>
        </w:rPr>
      </w:pPr>
    </w:p>
    <w:p w:rsidR="001A3369" w:rsidRPr="004E50A7" w:rsidRDefault="001A3369" w:rsidP="001A3369">
      <w:pPr>
        <w:rPr>
          <w:rFonts w:ascii="Arial" w:hAnsi="Arial" w:cs="Arial"/>
          <w:szCs w:val="22"/>
        </w:rPr>
      </w:pPr>
    </w:p>
    <w:p w:rsidR="001A3369" w:rsidRDefault="001A3369" w:rsidP="001A3369">
      <w:pPr>
        <w:tabs>
          <w:tab w:val="left" w:pos="720"/>
        </w:tabs>
        <w:ind w:left="720"/>
        <w:rPr>
          <w:rFonts w:ascii="Arial" w:hAnsi="Arial" w:cs="Arial"/>
        </w:rPr>
      </w:pPr>
      <w:r w:rsidRPr="004E50A7">
        <w:rPr>
          <w:rFonts w:ascii="Arial" w:hAnsi="Arial" w:cs="Arial"/>
          <w:szCs w:val="22"/>
        </w:rPr>
        <w:t xml:space="preserve">Time is of the essence in the performance of Contractor’s duties.  </w:t>
      </w:r>
      <w:r w:rsidRPr="004B272D">
        <w:rPr>
          <w:rFonts w:ascii="Arial" w:hAnsi="Arial" w:cs="Arial"/>
          <w:b/>
          <w:i/>
          <w:szCs w:val="22"/>
        </w:rPr>
        <w:t xml:space="preserve">Failure of the Contractor to notify UTHealth sufficiently in advance of inability to complete elevator modernization project within the delivery schedule, shall grant UTHealth the option of imposing liquidated damages in the amount of </w:t>
      </w:r>
      <w:r>
        <w:rPr>
          <w:rFonts w:ascii="Arial" w:hAnsi="Arial" w:cs="Arial"/>
          <w:b/>
          <w:i/>
          <w:szCs w:val="22"/>
        </w:rPr>
        <w:t>five</w:t>
      </w:r>
      <w:r w:rsidRPr="004B272D">
        <w:rPr>
          <w:rFonts w:ascii="Arial" w:hAnsi="Arial" w:cs="Arial"/>
          <w:b/>
          <w:i/>
          <w:szCs w:val="22"/>
        </w:rPr>
        <w:t xml:space="preserve"> hundred dollars ($500.00) per calendar day.</w:t>
      </w:r>
      <w:r w:rsidRPr="004E50A7">
        <w:rPr>
          <w:rFonts w:ascii="Arial" w:hAnsi="Arial" w:cs="Arial"/>
          <w:szCs w:val="22"/>
        </w:rPr>
        <w:t xml:space="preserve">  Notwithstanding the foregoing, </w:t>
      </w:r>
      <w:r>
        <w:rPr>
          <w:rFonts w:ascii="Arial" w:hAnsi="Arial" w:cs="Arial"/>
          <w:szCs w:val="22"/>
        </w:rPr>
        <w:t>UTHealth</w:t>
      </w:r>
      <w:r w:rsidRPr="004E50A7">
        <w:rPr>
          <w:rFonts w:ascii="Arial" w:hAnsi="Arial" w:cs="Arial"/>
          <w:szCs w:val="22"/>
        </w:rPr>
        <w:t xml:space="preserve"> shall have no obligation to accept late performance or waive timely performance by Contractor.</w:t>
      </w:r>
      <w:r>
        <w:rPr>
          <w:rFonts w:ascii="Arial" w:hAnsi="Arial" w:cs="Arial"/>
        </w:rPr>
        <w:t xml:space="preserve"> </w:t>
      </w:r>
    </w:p>
    <w:p w:rsidR="001A3369" w:rsidRDefault="001A3369" w:rsidP="001A3369">
      <w:pPr>
        <w:rPr>
          <w:rFonts w:ascii="Arial" w:hAnsi="Arial" w:cs="Arial"/>
          <w:bCs/>
        </w:rPr>
      </w:pPr>
    </w:p>
    <w:p w:rsidR="001A3369" w:rsidRDefault="001A3369" w:rsidP="001A3369">
      <w:pPr>
        <w:rPr>
          <w:rFonts w:ascii="Arial" w:hAnsi="Arial" w:cs="Arial"/>
          <w:bCs/>
        </w:rPr>
      </w:pPr>
    </w:p>
    <w:p w:rsidR="001A3369" w:rsidRDefault="001A3369" w:rsidP="001A3369">
      <w:pPr>
        <w:rPr>
          <w:rFonts w:ascii="Arial" w:hAnsi="Arial" w:cs="Arial"/>
          <w:b/>
        </w:rPr>
      </w:pPr>
      <w:r>
        <w:rPr>
          <w:rFonts w:ascii="Arial" w:hAnsi="Arial" w:cs="Arial"/>
          <w:b/>
        </w:rPr>
        <w:t>6.4</w:t>
      </w:r>
      <w:r>
        <w:rPr>
          <w:rFonts w:ascii="Arial" w:hAnsi="Arial" w:cs="Arial"/>
          <w:b/>
        </w:rPr>
        <w:tab/>
        <w:t xml:space="preserve">University’s Payment Terms </w:t>
      </w:r>
    </w:p>
    <w:p w:rsidR="001A3369" w:rsidRDefault="001A3369" w:rsidP="001A3369">
      <w:pPr>
        <w:rPr>
          <w:rFonts w:ascii="Arial" w:hAnsi="Arial" w:cs="Arial"/>
        </w:rPr>
      </w:pPr>
    </w:p>
    <w:p w:rsidR="001A3369" w:rsidRDefault="001A3369" w:rsidP="001A3369">
      <w:pPr>
        <w:ind w:left="720"/>
        <w:rPr>
          <w:rFonts w:ascii="Arial" w:hAnsi="Arial" w:cs="Arial"/>
        </w:rPr>
      </w:pPr>
      <w:r>
        <w:rPr>
          <w:rFonts w:ascii="Arial" w:hAnsi="Arial" w:cs="Arial"/>
        </w:rPr>
        <w:t>University’s standard payment terms for services are “Net 30 days.” Proposer agrees that University will be entitled to withhold five percent (5%) of the total payment due under the Agreement until after University’s acceptance of the final work product. Indicate below the prompt payment discount that Proposer will provide to University:  </w:t>
      </w:r>
    </w:p>
    <w:p w:rsidR="001A3369" w:rsidRDefault="001A3369" w:rsidP="001A3369">
      <w:pPr>
        <w:ind w:left="720"/>
        <w:rPr>
          <w:rFonts w:ascii="Arial" w:hAnsi="Arial" w:cs="Arial"/>
        </w:rPr>
      </w:pPr>
    </w:p>
    <w:p w:rsidR="001A3369" w:rsidRDefault="001A3369" w:rsidP="001A3369">
      <w:pPr>
        <w:ind w:left="630" w:firstLine="90"/>
        <w:rPr>
          <w:rFonts w:ascii="Arial" w:hAnsi="Arial" w:cs="Arial"/>
        </w:rPr>
      </w:pPr>
      <w:r>
        <w:rPr>
          <w:rFonts w:ascii="Arial" w:hAnsi="Arial" w:cs="Arial"/>
        </w:rPr>
        <w:t>Prompt Payment Discount: _____%_____days/net 30 days.</w:t>
      </w:r>
    </w:p>
    <w:p w:rsidR="001A3369" w:rsidRDefault="001A3369" w:rsidP="001A3369">
      <w:pPr>
        <w:ind w:left="630" w:firstLine="90"/>
        <w:rPr>
          <w:rFonts w:ascii="Arial" w:hAnsi="Arial" w:cs="Arial"/>
        </w:rPr>
      </w:pPr>
    </w:p>
    <w:p w:rsidR="001A3369" w:rsidRDefault="001A3369" w:rsidP="001A3369">
      <w:pPr>
        <w:ind w:left="630" w:firstLine="90"/>
        <w:rPr>
          <w:rFonts w:ascii="Arial" w:hAnsi="Arial" w:cs="Arial"/>
        </w:rPr>
      </w:pPr>
    </w:p>
    <w:p w:rsidR="001A3369" w:rsidRDefault="001A3369" w:rsidP="001A3369">
      <w:pPr>
        <w:rPr>
          <w:rFonts w:ascii="Arial" w:hAnsi="Arial" w:cs="Arial"/>
        </w:rPr>
      </w:pPr>
    </w:p>
    <w:p w:rsidR="001A3369" w:rsidRDefault="001A3369" w:rsidP="001A3369">
      <w:pPr>
        <w:tabs>
          <w:tab w:val="left" w:pos="4320"/>
          <w:tab w:val="left" w:pos="5760"/>
        </w:tabs>
        <w:rPr>
          <w:rFonts w:ascii="Arial" w:hAnsi="Arial" w:cs="Arial"/>
        </w:rPr>
      </w:pPr>
      <w:r>
        <w:rPr>
          <w:rFonts w:ascii="Arial" w:hAnsi="Arial" w:cs="Arial"/>
        </w:rPr>
        <w:tab/>
        <w:t xml:space="preserve">Respectfully submitted, </w:t>
      </w:r>
    </w:p>
    <w:p w:rsidR="001A3369" w:rsidRDefault="001A3369" w:rsidP="001A3369">
      <w:pPr>
        <w:rPr>
          <w:rFonts w:ascii="Arial" w:hAnsi="Arial" w:cs="Arial"/>
        </w:rPr>
      </w:pPr>
    </w:p>
    <w:p w:rsidR="001A3369" w:rsidRDefault="001A3369" w:rsidP="001A33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1A3369" w:rsidRDefault="001A3369" w:rsidP="001A3369">
      <w:pPr>
        <w:rPr>
          <w:rFonts w:ascii="Arial" w:hAnsi="Arial" w:cs="Arial"/>
        </w:rPr>
      </w:pPr>
    </w:p>
    <w:p w:rsidR="001A3369" w:rsidRDefault="001A3369" w:rsidP="001A3369">
      <w:pPr>
        <w:rPr>
          <w:rFonts w:ascii="Arial" w:hAnsi="Arial" w:cs="Arial"/>
        </w:rPr>
      </w:pPr>
    </w:p>
    <w:p w:rsidR="001A3369" w:rsidRDefault="001A3369" w:rsidP="001A3369">
      <w:pPr>
        <w:ind w:left="5040"/>
        <w:rPr>
          <w:rFonts w:ascii="Arial" w:hAnsi="Arial" w:cs="Arial"/>
        </w:rPr>
      </w:pPr>
      <w:r>
        <w:rPr>
          <w:rFonts w:ascii="Arial" w:hAnsi="Arial" w:cs="Arial"/>
          <w:b/>
          <w:bCs/>
        </w:rPr>
        <w:t>By:</w:t>
      </w:r>
      <w:r>
        <w:rPr>
          <w:rFonts w:ascii="Arial" w:hAnsi="Arial" w:cs="Arial"/>
        </w:rPr>
        <w:t xml:space="preserve">  ___________________________ </w:t>
      </w:r>
    </w:p>
    <w:p w:rsidR="001A3369" w:rsidRDefault="001A3369" w:rsidP="001A33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1A3369" w:rsidRDefault="001A3369" w:rsidP="001A3369">
      <w:pPr>
        <w:ind w:left="4320" w:firstLine="720"/>
        <w:rPr>
          <w:rFonts w:ascii="Arial" w:hAnsi="Arial" w:cs="Arial"/>
          <w:b/>
          <w:bCs/>
        </w:rPr>
      </w:pPr>
    </w:p>
    <w:p w:rsidR="001A3369" w:rsidRDefault="001A3369" w:rsidP="001A336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1A3369" w:rsidRDefault="001A3369" w:rsidP="001A3369">
      <w:pPr>
        <w:ind w:left="4320" w:firstLine="720"/>
        <w:rPr>
          <w:rFonts w:ascii="Arial" w:hAnsi="Arial" w:cs="Arial"/>
          <w:b/>
          <w:bCs/>
        </w:rPr>
      </w:pPr>
    </w:p>
    <w:p w:rsidR="001A3369" w:rsidRDefault="001A3369" w:rsidP="001A3369">
      <w:pPr>
        <w:ind w:left="4320" w:firstLine="720"/>
        <w:rPr>
          <w:rFonts w:ascii="Arial" w:hAnsi="Arial" w:cs="Arial"/>
          <w:b/>
          <w:bCs/>
        </w:rPr>
      </w:pPr>
    </w:p>
    <w:p w:rsidR="001A3369" w:rsidRDefault="001A3369" w:rsidP="001A336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1A3369" w:rsidRDefault="001A3369" w:rsidP="001A3369">
      <w:pPr>
        <w:ind w:left="4320" w:firstLine="720"/>
        <w:rPr>
          <w:rFonts w:ascii="Arial" w:hAnsi="Arial" w:cs="Arial"/>
        </w:rPr>
      </w:pPr>
    </w:p>
    <w:p w:rsidR="001A3369" w:rsidRDefault="001A3369" w:rsidP="001A3369">
      <w:pPr>
        <w:ind w:left="4320" w:firstLine="720"/>
        <w:rPr>
          <w:rFonts w:ascii="Arial" w:hAnsi="Arial" w:cs="Arial"/>
        </w:rPr>
      </w:pPr>
    </w:p>
    <w:p w:rsidR="00AD7683" w:rsidRDefault="001A3369" w:rsidP="001A3369">
      <w:pPr>
        <w:tabs>
          <w:tab w:val="left" w:pos="810"/>
          <w:tab w:val="left" w:pos="5040"/>
          <w:tab w:val="left" w:pos="5760"/>
          <w:tab w:val="left" w:pos="6480"/>
          <w:tab w:val="left" w:pos="7200"/>
          <w:tab w:val="left" w:pos="7920"/>
          <w:tab w:val="left" w:pos="8190"/>
          <w:tab w:val="left" w:pos="8550"/>
          <w:tab w:val="left" w:pos="9630"/>
          <w:tab w:val="left" w:pos="10350"/>
        </w:tabs>
      </w:pPr>
      <w:r>
        <w:rPr>
          <w:rFonts w:ascii="Arial" w:hAnsi="Arial" w:cs="Arial"/>
          <w:b/>
          <w:bCs/>
        </w:rPr>
        <w:tab/>
      </w:r>
      <w:r>
        <w:rPr>
          <w:rFonts w:ascii="Arial" w:hAnsi="Arial" w:cs="Arial"/>
          <w:b/>
          <w:bCs/>
        </w:rPr>
        <w:tab/>
        <w:t>Date:</w:t>
      </w:r>
      <w:r>
        <w:rPr>
          <w:rFonts w:ascii="Arial" w:hAnsi="Arial" w:cs="Arial"/>
        </w:rPr>
        <w:t>  _____________________</w:t>
      </w:r>
    </w:p>
    <w:sectPr w:rsidR="00A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69"/>
    <w:rsid w:val="001A3369"/>
    <w:rsid w:val="00AD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69"/>
    <w:pPr>
      <w:spacing w:after="0" w:line="240" w:lineRule="auto"/>
      <w:jc w:val="both"/>
    </w:pPr>
    <w:rPr>
      <w:rFonts w:ascii="Helvetica" w:eastAsia="Times" w:hAnsi="Helvetica" w:cs="Times New Roman"/>
      <w:szCs w:val="20"/>
    </w:rPr>
  </w:style>
  <w:style w:type="paragraph" w:styleId="Heading9">
    <w:name w:val="heading 9"/>
    <w:basedOn w:val="Normal"/>
    <w:next w:val="Normal"/>
    <w:link w:val="Heading9Char"/>
    <w:qFormat/>
    <w:rsid w:val="001A336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A3369"/>
    <w:rPr>
      <w:rFonts w:ascii="Helvetica" w:eastAsia="Times" w:hAnsi="Helvetic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69"/>
    <w:pPr>
      <w:spacing w:after="0" w:line="240" w:lineRule="auto"/>
      <w:jc w:val="both"/>
    </w:pPr>
    <w:rPr>
      <w:rFonts w:ascii="Helvetica" w:eastAsia="Times" w:hAnsi="Helvetica" w:cs="Times New Roman"/>
      <w:szCs w:val="20"/>
    </w:rPr>
  </w:style>
  <w:style w:type="paragraph" w:styleId="Heading9">
    <w:name w:val="heading 9"/>
    <w:basedOn w:val="Normal"/>
    <w:next w:val="Normal"/>
    <w:link w:val="Heading9Char"/>
    <w:qFormat/>
    <w:rsid w:val="001A3369"/>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A3369"/>
    <w:rPr>
      <w:rFonts w:ascii="Helvetica" w:eastAsia="Times"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10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Ochoa</dc:creator>
  <cp:lastModifiedBy>Michael Ochoa</cp:lastModifiedBy>
  <cp:revision>1</cp:revision>
  <dcterms:created xsi:type="dcterms:W3CDTF">2016-03-03T14:50:00Z</dcterms:created>
  <dcterms:modified xsi:type="dcterms:W3CDTF">2016-03-03T14:56:00Z</dcterms:modified>
</cp:coreProperties>
</file>