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4F3A4D">
        <w:rPr>
          <w:rFonts w:ascii="Calibri" w:hAnsi="Calibri"/>
          <w:b w:val="0"/>
          <w:bCs/>
          <w:i w:val="0"/>
          <w:iCs/>
          <w:sz w:val="40"/>
          <w:szCs w:val="40"/>
        </w:rPr>
        <w:t>1505  CYF Roof Replacement</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986E26" w:rsidP="00B82C1D">
      <w:pPr>
        <w:jc w:val="center"/>
        <w:rPr>
          <w:rFonts w:ascii="Calibri" w:hAnsi="Calibri"/>
          <w:sz w:val="28"/>
          <w:szCs w:val="28"/>
        </w:rPr>
      </w:pPr>
      <w:r w:rsidRPr="00986E26">
        <w:rPr>
          <w:rFonts w:ascii="Calibri" w:hAnsi="Calibri"/>
          <w:sz w:val="28"/>
          <w:szCs w:val="28"/>
        </w:rPr>
        <w:t xml:space="preserve">Pre-Bid </w:t>
      </w:r>
      <w:r w:rsidR="008577BE">
        <w:rPr>
          <w:rFonts w:ascii="Calibri" w:hAnsi="Calibri"/>
          <w:sz w:val="28"/>
          <w:szCs w:val="28"/>
        </w:rPr>
        <w:t>Meeting &amp; Site Visit</w:t>
      </w:r>
      <w:r w:rsidRPr="00986E26">
        <w:rPr>
          <w:rFonts w:ascii="Calibri" w:hAnsi="Calibri"/>
          <w:sz w:val="28"/>
          <w:szCs w:val="28"/>
        </w:rPr>
        <w:t xml:space="preserve">:  </w:t>
      </w:r>
      <w:r w:rsidR="00E61B63">
        <w:rPr>
          <w:rFonts w:ascii="Calibri" w:hAnsi="Calibri"/>
          <w:sz w:val="28"/>
          <w:szCs w:val="28"/>
        </w:rPr>
        <w:t>Thursday, October 30, 2014 @ 9:30AM 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EA71E4">
        <w:rPr>
          <w:rFonts w:ascii="Calibri" w:hAnsi="Calibri"/>
          <w:iCs/>
          <w:sz w:val="28"/>
          <w:szCs w:val="28"/>
        </w:rPr>
        <w:t xml:space="preserve">Tuesday, </w:t>
      </w:r>
      <w:r w:rsidR="002F0C3C">
        <w:rPr>
          <w:rFonts w:ascii="Calibri" w:hAnsi="Calibri"/>
          <w:iCs/>
          <w:sz w:val="28"/>
          <w:szCs w:val="28"/>
        </w:rPr>
        <w:t>November 25</w:t>
      </w:r>
      <w:r w:rsidR="00EA71E4">
        <w:rPr>
          <w:rFonts w:ascii="Calibri" w:hAnsi="Calibri"/>
          <w:iCs/>
          <w:sz w:val="28"/>
          <w:szCs w:val="28"/>
        </w:rPr>
        <w:t>, 2014 @ 2:00PM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EA71E4">
        <w:rPr>
          <w:rFonts w:asciiTheme="minorHAnsi" w:hAnsiTheme="minorHAnsi"/>
          <w:sz w:val="28"/>
        </w:rPr>
        <w:t xml:space="preserve">Wednesday, </w:t>
      </w:r>
      <w:r w:rsidR="002F0C3C">
        <w:rPr>
          <w:rFonts w:asciiTheme="minorHAnsi" w:hAnsiTheme="minorHAnsi"/>
          <w:sz w:val="28"/>
        </w:rPr>
        <w:t>November 26</w:t>
      </w:r>
      <w:r w:rsidR="00EA71E4">
        <w:rPr>
          <w:rFonts w:asciiTheme="minorHAnsi" w:hAnsiTheme="minorHAnsi"/>
          <w:sz w:val="28"/>
        </w:rPr>
        <w:t>, 2014 @ 2:00PM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081E90" w:rsidP="00B82C1D">
      <w:pPr>
        <w:jc w:val="center"/>
        <w:rPr>
          <w:rFonts w:ascii="Calibri" w:hAnsi="Calibri"/>
          <w:iCs/>
          <w:szCs w:val="22"/>
        </w:rPr>
      </w:pPr>
      <w:r>
        <w:rPr>
          <w:rFonts w:ascii="Calibri" w:hAnsi="Calibri"/>
          <w:iCs/>
          <w:szCs w:val="22"/>
        </w:rPr>
        <w:t xml:space="preserve">Michael K. Ochoa, </w:t>
      </w:r>
      <w:r w:rsidRPr="00081E90">
        <w:rPr>
          <w:rFonts w:ascii="Calibri" w:hAnsi="Calibri"/>
          <w:iCs/>
          <w:sz w:val="18"/>
          <w:szCs w:val="18"/>
        </w:rPr>
        <w:t>C.P.M.</w:t>
      </w:r>
      <w:r>
        <w:rPr>
          <w:rFonts w:ascii="Calibri" w:hAnsi="Calibri"/>
          <w:iCs/>
          <w:szCs w:val="22"/>
        </w:rPr>
        <w:t>, Purchasing Contracts Administrator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A44E52" w:rsidP="00B82C1D">
      <w:pPr>
        <w:jc w:val="center"/>
        <w:rPr>
          <w:rFonts w:asciiTheme="minorHAnsi" w:hAnsiTheme="minorHAnsi"/>
          <w:szCs w:val="22"/>
        </w:rPr>
      </w:pPr>
      <w:hyperlink r:id="rId9" w:history="1">
        <w:r w:rsidR="00081E90" w:rsidRPr="00197D71">
          <w:rPr>
            <w:rStyle w:val="Hyperlink"/>
            <w:rFonts w:asciiTheme="minorHAnsi" w:hAnsiTheme="minorHAnsi"/>
            <w:szCs w:val="22"/>
          </w:rPr>
          <w:t>Michael.Ochoa@uth.tmc.edu</w:t>
        </w:r>
      </w:hyperlink>
    </w:p>
    <w:p w:rsidR="003E3579" w:rsidRDefault="00EA71E4" w:rsidP="00B82C1D">
      <w:pPr>
        <w:jc w:val="center"/>
      </w:pPr>
      <w:r>
        <w:rPr>
          <w:rFonts w:asciiTheme="minorHAnsi" w:hAnsiTheme="minorHAnsi"/>
          <w:szCs w:val="22"/>
        </w:rPr>
        <w:t>October 2</w:t>
      </w:r>
      <w:r w:rsidR="002F0C3C">
        <w:rPr>
          <w:rFonts w:asciiTheme="minorHAnsi" w:hAnsiTheme="minorHAnsi"/>
          <w:szCs w:val="22"/>
        </w:rPr>
        <w:t>2</w:t>
      </w:r>
      <w:r>
        <w:rPr>
          <w:rFonts w:asciiTheme="minorHAnsi" w:hAnsiTheme="minorHAnsi"/>
          <w:szCs w:val="22"/>
        </w:rPr>
        <w:t>, 2014</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5F1378">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5F1378">
        <w:rPr>
          <w:rFonts w:ascii="Arial" w:hAnsi="Arial" w:cs="Arial"/>
        </w:rPr>
        <w:t>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5F1378">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5F1378">
        <w:rPr>
          <w:rFonts w:ascii="Arial" w:hAnsi="Arial" w:cs="Arial"/>
        </w:rPr>
        <w:t>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5F1378">
        <w:rPr>
          <w:rFonts w:ascii="Arial" w:hAnsi="Arial" w:cs="Arial"/>
        </w:rPr>
        <w:t>13</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354385">
        <w:rPr>
          <w:rFonts w:ascii="Arial" w:hAnsi="Arial" w:cs="Arial"/>
          <w:b/>
          <w:bCs/>
        </w:rPr>
        <w:t>CONSTRUCTION DRAWINGS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sidR="00354385">
        <w:rPr>
          <w:rFonts w:ascii="Arial Bold" w:hAnsi="Arial Bold"/>
          <w:b/>
          <w:caps/>
          <w:spacing w:val="-3"/>
        </w:rPr>
        <w:t>TECHNICAL SPECIFICATIONS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w:t>
      </w:r>
      <w:r w:rsidR="00354385">
        <w:rPr>
          <w:rFonts w:cs="Arial"/>
          <w:sz w:val="22"/>
          <w:szCs w:val="22"/>
        </w:rPr>
        <w:t>F</w:t>
      </w:r>
      <w:r w:rsidRPr="003E4B7C">
        <w:rPr>
          <w:rFonts w:cs="Arial"/>
          <w:sz w:val="22"/>
          <w:szCs w:val="22"/>
        </w:rPr>
        <w:t>)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School of Nursing (SON) – 6901 Bertner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Institute of Molecular Medicine (IMM) – 1825 Pressler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99305E" w:rsidRPr="00F02F7E" w:rsidRDefault="0099305E">
      <w:pPr>
        <w:rPr>
          <w:b/>
        </w:rPr>
      </w:pPr>
      <w:r w:rsidRPr="00F02F7E">
        <w:rPr>
          <w:b/>
        </w:rPr>
        <w:t>1.</w:t>
      </w:r>
      <w:r w:rsidR="00354385">
        <w:rPr>
          <w:b/>
        </w:rPr>
        <w:t>2</w:t>
      </w:r>
      <w:r w:rsidRPr="00F02F7E">
        <w:rPr>
          <w:b/>
        </w:rPr>
        <w:tab/>
        <w:t>General Information</w:t>
      </w:r>
    </w:p>
    <w:p w:rsidR="0099305E" w:rsidRDefault="0099305E"/>
    <w:p w:rsidR="0099305E" w:rsidRDefault="0099305E" w:rsidP="0099305E">
      <w:pPr>
        <w:ind w:left="720"/>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w:t>
      </w:r>
      <w:r>
        <w:t>bid</w:t>
      </w:r>
      <w:r w:rsidRPr="00327BA4">
        <w:t>s are rejected.</w:t>
      </w:r>
    </w:p>
    <w:p w:rsidR="00F02F7E" w:rsidRDefault="00F02F7E" w:rsidP="0099305E">
      <w:pPr>
        <w:ind w:left="720"/>
      </w:pPr>
    </w:p>
    <w:p w:rsidR="00F02F7E" w:rsidRPr="00F02F7E" w:rsidRDefault="00F02F7E" w:rsidP="00F02F7E">
      <w:pPr>
        <w:rPr>
          <w:b/>
        </w:rPr>
      </w:pPr>
      <w:r w:rsidRPr="00F02F7E">
        <w:rPr>
          <w:b/>
        </w:rPr>
        <w:lastRenderedPageBreak/>
        <w:t>1.</w:t>
      </w:r>
      <w:r w:rsidR="00354385">
        <w:rPr>
          <w:b/>
        </w:rPr>
        <w:t>3</w:t>
      </w:r>
      <w:r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General Contractor Agreement, a copy of which is included in the Bidding Documents.</w:t>
      </w:r>
    </w:p>
    <w:p w:rsidR="00F02F7E" w:rsidRPr="00327BA4" w:rsidRDefault="00F02F7E" w:rsidP="00F02F7E"/>
    <w:p w:rsidR="00F02F7E" w:rsidRDefault="00F02F7E" w:rsidP="00F02F7E">
      <w:pPr>
        <w:ind w:left="720"/>
      </w:pPr>
      <w:r w:rsidRPr="00327BA4">
        <w:t>The work will be awarded under as a Lump-Sum contract to the Respondent offering the “best value” to the Owner.</w:t>
      </w:r>
    </w:p>
    <w:p w:rsidR="00F02F7E" w:rsidRDefault="00F02F7E" w:rsidP="0099305E">
      <w:pPr>
        <w:ind w:left="720"/>
      </w:pPr>
    </w:p>
    <w:p w:rsidR="003E3579" w:rsidRDefault="003E3579">
      <w:pPr>
        <w:rPr>
          <w:b/>
          <w:bCs/>
        </w:rPr>
      </w:pPr>
      <w:r>
        <w:rPr>
          <w:b/>
          <w:bCs/>
        </w:rPr>
        <w:t>1.</w:t>
      </w:r>
      <w:r w:rsidR="00354385">
        <w:rPr>
          <w:b/>
          <w:bCs/>
        </w:rPr>
        <w:t>4</w:t>
      </w:r>
      <w:r>
        <w:rPr>
          <w:b/>
          <w:bCs/>
        </w:rPr>
        <w:tab/>
        <w:t xml:space="preserve">Objective of this Request for Proposal </w:t>
      </w:r>
    </w:p>
    <w:p w:rsidR="003E3579" w:rsidRDefault="003E3579">
      <w:pPr>
        <w:ind w:left="720"/>
        <w:rPr>
          <w:color w:val="000000"/>
        </w:rPr>
      </w:pPr>
    </w:p>
    <w:p w:rsidR="003E3579" w:rsidRDefault="00BD0C03">
      <w:pPr>
        <w:ind w:left="720"/>
        <w:rPr>
          <w:color w:val="000000"/>
        </w:rPr>
      </w:pPr>
      <w:r>
        <w:rPr>
          <w:color w:val="000000"/>
        </w:rPr>
        <w:t>The University of Texas Health Science Center at Houston (“</w:t>
      </w:r>
      <w:r>
        <w:rPr>
          <w:b/>
          <w:bCs/>
          <w:color w:val="000000"/>
        </w:rPr>
        <w:t>University</w:t>
      </w:r>
      <w:r>
        <w:rPr>
          <w:color w:val="000000"/>
        </w:rPr>
        <w:t xml:space="preserve">”) is soliciting proposals in response to this Request for Proposal for Selection of a Vendor to Provide </w:t>
      </w:r>
      <w:r w:rsidR="00081E90">
        <w:rPr>
          <w:color w:val="000000"/>
        </w:rPr>
        <w:t>Roof Replacement</w:t>
      </w:r>
      <w:r>
        <w:rPr>
          <w:color w:val="000000"/>
        </w:rPr>
        <w:t xml:space="preserve"> Services related to, RFP </w:t>
      </w:r>
      <w:r w:rsidR="00081E90">
        <w:rPr>
          <w:color w:val="000000"/>
        </w:rPr>
        <w:t>744-R1505 CYF Roof Replacement</w:t>
      </w:r>
      <w:r>
        <w:rPr>
          <w:color w:val="000000"/>
        </w:rPr>
        <w:t xml:space="preserve"> (this “</w:t>
      </w:r>
      <w:r>
        <w:rPr>
          <w:b/>
          <w:bCs/>
          <w:color w:val="000000"/>
        </w:rPr>
        <w:t>RFP</w:t>
      </w:r>
      <w:r>
        <w:rPr>
          <w:color w:val="000000"/>
        </w:rPr>
        <w:t xml:space="preserve">”), from qualified vendors to provide </w:t>
      </w:r>
      <w:r w:rsidR="00667F79">
        <w:rPr>
          <w:color w:val="000000"/>
        </w:rPr>
        <w:t>construction</w:t>
      </w:r>
      <w:r>
        <w:rPr>
          <w:color w:val="000000"/>
        </w:rPr>
        <w:t xml:space="preserve"> services (the “</w:t>
      </w:r>
      <w:r>
        <w:rPr>
          <w:b/>
          <w:bCs/>
          <w:color w:val="000000"/>
        </w:rPr>
        <w:t>Services</w:t>
      </w:r>
      <w:r>
        <w:rPr>
          <w:color w:val="000000"/>
        </w:rPr>
        <w:t xml:space="preserve">”). The Services, which are more specifically described in </w:t>
      </w:r>
      <w:r>
        <w:rPr>
          <w:b/>
          <w:color w:val="000000"/>
        </w:rPr>
        <w:t xml:space="preserve">Section 5.4 </w:t>
      </w:r>
      <w:r>
        <w:rPr>
          <w:bCs/>
          <w:color w:val="000000"/>
        </w:rPr>
        <w:t>(Scope of Work)</w:t>
      </w:r>
      <w:r>
        <w:rPr>
          <w:color w:val="000000"/>
        </w:rPr>
        <w:t xml:space="preserve"> of this RFP, include (1) </w:t>
      </w:r>
      <w:r w:rsidR="00667F79">
        <w:t>Removal and replacement of the existing roof system</w:t>
      </w:r>
      <w:r>
        <w:rPr>
          <w:color w:val="000000"/>
        </w:rPr>
        <w:t xml:space="preserve">; (2) </w:t>
      </w:r>
      <w:r w:rsidR="00667F79">
        <w:t>sheet metal components</w:t>
      </w:r>
      <w:r>
        <w:rPr>
          <w:color w:val="000000"/>
        </w:rPr>
        <w:t>; and (3) </w:t>
      </w:r>
      <w:r w:rsidR="00667F79">
        <w:t>and all associated accessories as described in the drawings and specifications</w:t>
      </w:r>
      <w:r>
        <w:rPr>
          <w:color w:val="000000"/>
        </w:rPr>
        <w:t>.</w:t>
      </w:r>
    </w:p>
    <w:p w:rsidR="00614E58" w:rsidRDefault="00614E58">
      <w:pPr>
        <w:ind w:left="720"/>
        <w:rPr>
          <w:color w:val="000000"/>
        </w:rPr>
      </w:pPr>
    </w:p>
    <w:p w:rsidR="00614E58" w:rsidRPr="00614E58" w:rsidRDefault="00614E58" w:rsidP="00614E58">
      <w:pPr>
        <w:rPr>
          <w:b/>
          <w:bCs/>
        </w:rPr>
      </w:pPr>
      <w:r>
        <w:rPr>
          <w:b/>
          <w:bCs/>
        </w:rPr>
        <w:t>1.</w:t>
      </w:r>
      <w:r w:rsidR="00354385">
        <w:rPr>
          <w:b/>
          <w:bCs/>
        </w:rPr>
        <w:t>5</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2"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3"/>
          <w:footerReference w:type="default" r:id="rId14"/>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667F79">
        <w:rPr>
          <w:rFonts w:ascii="Arial" w:hAnsi="Arial" w:cs="Arial"/>
        </w:rPr>
        <w:t>2:00PM CST</w:t>
      </w:r>
      <w:r>
        <w:rPr>
          <w:rFonts w:ascii="Arial" w:hAnsi="Arial" w:cs="Arial"/>
        </w:rPr>
        <w:t xml:space="preserve"> on </w:t>
      </w:r>
      <w:r w:rsidR="00EA71E4">
        <w:rPr>
          <w:rFonts w:ascii="Arial" w:hAnsi="Arial" w:cs="Arial"/>
        </w:rPr>
        <w:t>Tuesday</w:t>
      </w:r>
      <w:r>
        <w:rPr>
          <w:rFonts w:ascii="Arial" w:hAnsi="Arial" w:cs="Arial"/>
        </w:rPr>
        <w:t xml:space="preserve">, </w:t>
      </w:r>
      <w:r w:rsidR="002F0C3C">
        <w:rPr>
          <w:rFonts w:ascii="Arial" w:hAnsi="Arial" w:cs="Arial"/>
        </w:rPr>
        <w:t>November 25</w:t>
      </w:r>
      <w:r>
        <w:rPr>
          <w:rFonts w:ascii="Arial" w:hAnsi="Arial" w:cs="Arial"/>
        </w:rPr>
        <w:t xml:space="preserve">, </w:t>
      </w:r>
      <w:r w:rsidR="00021440">
        <w:rPr>
          <w:rFonts w:ascii="Arial" w:hAnsi="Arial" w:cs="Arial"/>
        </w:rPr>
        <w:t>20</w:t>
      </w:r>
      <w:r w:rsidR="00667F79">
        <w:rPr>
          <w:rFonts w:ascii="Arial" w:hAnsi="Arial" w:cs="Arial"/>
        </w:rPr>
        <w:t>14</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1851 Crosspoint, OCB1.160</w:t>
      </w:r>
    </w:p>
    <w:p w:rsidR="00B82C1D" w:rsidRDefault="00B82C1D" w:rsidP="00B82C1D">
      <w:pPr>
        <w:ind w:left="2160"/>
        <w:rPr>
          <w:rFonts w:ascii="Arial" w:hAnsi="Arial" w:cs="Arial"/>
        </w:rPr>
      </w:pPr>
      <w:r>
        <w:rPr>
          <w:rFonts w:ascii="Arial" w:hAnsi="Arial" w:cs="Arial"/>
        </w:rPr>
        <w:t>Houston, Texas 77054</w:t>
      </w:r>
    </w:p>
    <w:p w:rsidR="00BD0C03" w:rsidRPr="00B45FFE" w:rsidRDefault="00667F79" w:rsidP="00BD0C03">
      <w:pPr>
        <w:ind w:left="2160"/>
        <w:rPr>
          <w:rFonts w:ascii="Arial" w:hAnsi="Arial" w:cs="Arial"/>
        </w:rPr>
      </w:pPr>
      <w:r>
        <w:rPr>
          <w:rFonts w:ascii="Arial" w:hAnsi="Arial" w:cs="Arial"/>
        </w:rPr>
        <w:t xml:space="preserve">Michael Ochoa, </w:t>
      </w:r>
      <w:r w:rsidRPr="00667F79">
        <w:rPr>
          <w:rFonts w:ascii="Arial" w:hAnsi="Arial" w:cs="Arial"/>
          <w:sz w:val="18"/>
          <w:szCs w:val="18"/>
        </w:rPr>
        <w:t>C.P.M.</w:t>
      </w:r>
      <w:r>
        <w:rPr>
          <w:rFonts w:ascii="Arial" w:hAnsi="Arial" w:cs="Arial"/>
        </w:rPr>
        <w:t>, Purchasing Contracts Administrator</w:t>
      </w:r>
    </w:p>
    <w:p w:rsidR="003E3579" w:rsidRDefault="00BD0C03" w:rsidP="00BD0C03">
      <w:pPr>
        <w:rPr>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hyperlink r:id="rId15" w:history="1">
        <w:r w:rsidR="00667F79" w:rsidRPr="00197D71">
          <w:rPr>
            <w:rStyle w:val="Hyperlink"/>
            <w:rFonts w:ascii="Arial" w:hAnsi="Arial" w:cs="Arial"/>
          </w:rPr>
          <w:t>Michael.Ochoa@uth.tme.edu</w:t>
        </w:r>
      </w:hyperlink>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w:t>
      </w:r>
      <w:r w:rsidR="00667F79">
        <w:rPr>
          <w:rFonts w:ascii="Arial" w:hAnsi="Arial" w:cs="Arial"/>
        </w:rPr>
        <w:t xml:space="preserve">via email </w:t>
      </w:r>
      <w:r w:rsidRPr="00EA71E4">
        <w:rPr>
          <w:rFonts w:ascii="Arial" w:hAnsi="Arial" w:cs="Arial"/>
          <w:b/>
          <w:i/>
        </w:rPr>
        <w:t>no later than</w:t>
      </w:r>
      <w:r w:rsidR="00EA71E4" w:rsidRPr="00EA71E4">
        <w:rPr>
          <w:rFonts w:ascii="Arial" w:hAnsi="Arial" w:cs="Arial"/>
          <w:b/>
          <w:i/>
        </w:rPr>
        <w:t xml:space="preserve"> Thursday, November 13</w:t>
      </w:r>
      <w:r w:rsidRPr="00EA71E4">
        <w:rPr>
          <w:rFonts w:ascii="Arial" w:hAnsi="Arial" w:cs="Arial"/>
          <w:b/>
          <w:i/>
        </w:rPr>
        <w:t xml:space="preserve">, </w:t>
      </w:r>
      <w:r w:rsidR="00021440" w:rsidRPr="00EA71E4">
        <w:rPr>
          <w:rFonts w:ascii="Arial" w:hAnsi="Arial" w:cs="Arial"/>
          <w:b/>
          <w:i/>
        </w:rPr>
        <w:t>20</w:t>
      </w:r>
      <w:r w:rsidR="00667F79" w:rsidRPr="00EA71E4">
        <w:rPr>
          <w:rFonts w:ascii="Arial" w:hAnsi="Arial" w:cs="Arial"/>
          <w:b/>
          <w:i/>
        </w:rPr>
        <w:t>14</w:t>
      </w:r>
      <w:r w:rsidRPr="00EA71E4">
        <w:rPr>
          <w:rFonts w:ascii="Arial" w:hAnsi="Arial" w:cs="Arial"/>
          <w:b/>
          <w:i/>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F02F7E" w:rsidRPr="00327BA4" w:rsidRDefault="00F02F7E" w:rsidP="00F02F7E">
      <w:pPr>
        <w:ind w:left="360"/>
      </w:pPr>
    </w:p>
    <w:p w:rsidR="00F02F7E" w:rsidRPr="00327BA4" w:rsidRDefault="00667F79" w:rsidP="00F02F7E">
      <w:pPr>
        <w:ind w:left="1080"/>
        <w:jc w:val="center"/>
        <w:rPr>
          <w:iCs/>
        </w:rPr>
      </w:pPr>
      <w:r w:rsidRPr="00667F79">
        <w:rPr>
          <w:iCs/>
        </w:rPr>
        <w:t>Judson Lloyd</w:t>
      </w:r>
      <w:r w:rsidR="00BD0C03" w:rsidRPr="00667F79">
        <w:rPr>
          <w:iCs/>
        </w:rPr>
        <w:t xml:space="preserve">, </w:t>
      </w:r>
      <w:r>
        <w:rPr>
          <w:iCs/>
        </w:rPr>
        <w:t>Senior Project Manager</w:t>
      </w: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Pr="00F44DA1" w:rsidRDefault="00F02F7E" w:rsidP="00F02F7E">
      <w:pPr>
        <w:rPr>
          <w:iCs/>
        </w:rPr>
      </w:pPr>
    </w:p>
    <w:p w:rsidR="00F02F7E" w:rsidRDefault="00667F79" w:rsidP="002672D0">
      <w:pPr>
        <w:jc w:val="center"/>
        <w:rPr>
          <w:rFonts w:ascii="Arial" w:hAnsi="Arial" w:cs="Arial"/>
        </w:rPr>
      </w:pPr>
      <w:r>
        <w:rPr>
          <w:iCs/>
        </w:rPr>
        <w:t xml:space="preserve"> </w:t>
      </w:r>
      <w:r>
        <w:rPr>
          <w:iCs/>
        </w:rPr>
        <w:tab/>
        <w:t xml:space="preserve">     Walter P. Moore and Associates, Inc.</w:t>
      </w: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lastRenderedPageBreak/>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667F79" w:rsidRPr="00667F79" w:rsidRDefault="00667F79" w:rsidP="00667F79">
      <w:pPr>
        <w:spacing w:after="30"/>
        <w:ind w:right="30"/>
        <w:rPr>
          <w:b/>
        </w:rPr>
      </w:pPr>
      <w:r>
        <w:tab/>
      </w:r>
      <w:r>
        <w:tab/>
      </w:r>
      <w:r w:rsidRPr="00667F79">
        <w:rPr>
          <w:b/>
        </w:rPr>
        <w:t>Qualifications</w:t>
      </w:r>
      <w:r>
        <w:rPr>
          <w:b/>
        </w:rPr>
        <w:tab/>
      </w:r>
      <w:r w:rsidRPr="00667F79">
        <w:rPr>
          <w:b/>
        </w:rPr>
        <w:t>50%</w:t>
      </w:r>
    </w:p>
    <w:p w:rsidR="00667F79" w:rsidRPr="00667F79" w:rsidRDefault="00667F79" w:rsidP="00667F79">
      <w:pPr>
        <w:spacing w:after="30"/>
        <w:ind w:left="720" w:right="30" w:firstLine="720"/>
        <w:rPr>
          <w:b/>
        </w:rPr>
      </w:pPr>
      <w:r w:rsidRPr="00667F79">
        <w:rPr>
          <w:b/>
        </w:rPr>
        <w:t>Schedule</w:t>
      </w:r>
      <w:r w:rsidRPr="00667F79">
        <w:rPr>
          <w:b/>
        </w:rPr>
        <w:tab/>
      </w:r>
      <w:r>
        <w:rPr>
          <w:b/>
        </w:rPr>
        <w:tab/>
      </w:r>
      <w:r w:rsidRPr="00667F79">
        <w:rPr>
          <w:b/>
        </w:rPr>
        <w:t>10%</w:t>
      </w:r>
    </w:p>
    <w:p w:rsidR="00D0740C" w:rsidRPr="00667F79" w:rsidRDefault="00667F79" w:rsidP="00667F79">
      <w:pPr>
        <w:spacing w:after="30"/>
        <w:ind w:right="30"/>
        <w:rPr>
          <w:rFonts w:ascii="Arial" w:hAnsi="Arial" w:cs="Arial"/>
          <w:b/>
          <w:bCs/>
          <w:color w:val="000000"/>
          <w:szCs w:val="22"/>
        </w:rPr>
      </w:pPr>
      <w:r w:rsidRPr="00667F79">
        <w:rPr>
          <w:b/>
        </w:rPr>
        <w:tab/>
      </w:r>
      <w:r w:rsidRPr="00667F79">
        <w:rPr>
          <w:b/>
        </w:rPr>
        <w:tab/>
        <w:t>Price</w:t>
      </w:r>
      <w:r w:rsidRPr="00667F79">
        <w:rPr>
          <w:b/>
        </w:rPr>
        <w:tab/>
      </w:r>
      <w:r w:rsidRPr="00667F79">
        <w:rPr>
          <w:b/>
        </w:rPr>
        <w:tab/>
      </w:r>
      <w:r>
        <w:rPr>
          <w:b/>
        </w:rPr>
        <w:tab/>
      </w:r>
      <w:r w:rsidRPr="00667F79">
        <w:rPr>
          <w:b/>
        </w:rPr>
        <w:t>40%</w:t>
      </w:r>
      <w:r w:rsidR="002672D0" w:rsidRPr="00667F79">
        <w:rPr>
          <w:b/>
        </w:rPr>
        <w:t xml:space="preserve">  </w:t>
      </w:r>
    </w:p>
    <w:p w:rsidR="001B489C" w:rsidRDefault="001B489C" w:rsidP="00D0740C">
      <w:pPr>
        <w:ind w:left="72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EA71E4">
        <w:rPr>
          <w:rFonts w:ascii="Arial" w:hAnsi="Arial" w:cs="Arial"/>
        </w:rPr>
        <w:t>October 21, 2014</w:t>
      </w:r>
      <w:r>
        <w:rPr>
          <w:rFonts w:ascii="Arial" w:hAnsi="Arial" w:cs="Arial"/>
        </w:rPr>
        <w:t xml:space="preserve"> </w:t>
      </w:r>
    </w:p>
    <w:p w:rsidR="003E3579" w:rsidRDefault="003E3579">
      <w:pPr>
        <w:rPr>
          <w:rFonts w:ascii="Arial" w:hAnsi="Arial" w:cs="Arial"/>
          <w:b/>
          <w:bCs/>
        </w:rPr>
      </w:pPr>
    </w:p>
    <w:p w:rsidR="003E3579" w:rsidRPr="00667F79" w:rsidRDefault="003E3579">
      <w:pPr>
        <w:rPr>
          <w:rFonts w:ascii="Arial" w:hAnsi="Arial" w:cs="Arial"/>
        </w:rPr>
      </w:pPr>
      <w:r>
        <w:rPr>
          <w:rFonts w:ascii="Arial" w:hAnsi="Arial" w:cs="Arial"/>
        </w:rPr>
        <w:tab/>
      </w:r>
      <w:r w:rsidRPr="00667F79">
        <w:rPr>
          <w:rFonts w:ascii="Arial" w:hAnsi="Arial" w:cs="Arial"/>
        </w:rPr>
        <w:t>Pre-</w:t>
      </w:r>
      <w:r w:rsidR="008577BE">
        <w:rPr>
          <w:rFonts w:ascii="Arial" w:hAnsi="Arial" w:cs="Arial"/>
        </w:rPr>
        <w:t>Bid Meeting &amp;</w:t>
      </w:r>
      <w:r w:rsidR="00EA71E4">
        <w:rPr>
          <w:rFonts w:ascii="Arial" w:hAnsi="Arial" w:cs="Arial"/>
        </w:rPr>
        <w:t xml:space="preserve"> Site Visit</w:t>
      </w:r>
      <w:r w:rsidRPr="00667F79">
        <w:rPr>
          <w:rFonts w:ascii="Arial" w:hAnsi="Arial" w:cs="Arial"/>
        </w:rPr>
        <w:tab/>
      </w:r>
      <w:r w:rsidRPr="00667F79">
        <w:rPr>
          <w:rFonts w:ascii="Arial" w:hAnsi="Arial" w:cs="Arial"/>
        </w:rPr>
        <w:tab/>
      </w:r>
      <w:r w:rsidR="008577BE">
        <w:rPr>
          <w:rFonts w:ascii="Arial" w:hAnsi="Arial" w:cs="Arial"/>
        </w:rPr>
        <w:tab/>
      </w:r>
      <w:r w:rsidR="00E61B63" w:rsidRPr="00E61B63">
        <w:rPr>
          <w:rFonts w:ascii="Arial" w:hAnsi="Arial" w:cs="Arial"/>
          <w:sz w:val="20"/>
        </w:rPr>
        <w:t>Thursday, October 30, 2014 @ 9:30AM CST</w:t>
      </w:r>
    </w:p>
    <w:p w:rsidR="003E3579" w:rsidRDefault="003E3579">
      <w:pPr>
        <w:ind w:left="720" w:hanging="720"/>
        <w:rPr>
          <w:rFonts w:ascii="Arial" w:hAnsi="Arial" w:cs="Arial"/>
          <w:b/>
          <w:bCs/>
        </w:rPr>
      </w:pPr>
      <w:r w:rsidRPr="00667F79">
        <w:rPr>
          <w:rFonts w:ascii="Arial" w:hAnsi="Arial" w:cs="Arial"/>
        </w:rPr>
        <w:tab/>
        <w:t xml:space="preserve">(ref. </w:t>
      </w:r>
      <w:r w:rsidRPr="00667F79">
        <w:rPr>
          <w:rFonts w:ascii="Arial" w:hAnsi="Arial" w:cs="Arial"/>
          <w:b/>
          <w:bCs/>
        </w:rPr>
        <w:t xml:space="preserve">Section 2.6 </w:t>
      </w:r>
      <w:r w:rsidRPr="00667F79">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EA71E4" w:rsidRPr="00EA71E4">
        <w:rPr>
          <w:rFonts w:ascii="Arial" w:hAnsi="Arial" w:cs="Arial"/>
          <w:sz w:val="20"/>
        </w:rPr>
        <w:t>Thursday, November 13, 2014 @ 10:00AM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EA71E4" w:rsidRPr="00EA71E4">
        <w:rPr>
          <w:rFonts w:ascii="Arial" w:hAnsi="Arial" w:cs="Arial"/>
          <w:sz w:val="20"/>
        </w:rPr>
        <w:t xml:space="preserve">Tuesday, </w:t>
      </w:r>
      <w:r w:rsidR="002F0C3C">
        <w:rPr>
          <w:rFonts w:ascii="Arial" w:hAnsi="Arial" w:cs="Arial"/>
          <w:sz w:val="20"/>
        </w:rPr>
        <w:t>November 25</w:t>
      </w:r>
      <w:r w:rsidR="00EA71E4" w:rsidRPr="00EA71E4">
        <w:rPr>
          <w:rFonts w:ascii="Arial" w:hAnsi="Arial" w:cs="Arial"/>
          <w:sz w:val="20"/>
        </w:rPr>
        <w:t>, 2014 @ 2:00PM CST</w:t>
      </w:r>
      <w:r>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EA71E4" w:rsidRPr="002F0C3C">
        <w:rPr>
          <w:rFonts w:ascii="Arial" w:hAnsi="Arial" w:cs="Arial"/>
          <w:sz w:val="18"/>
          <w:szCs w:val="18"/>
        </w:rPr>
        <w:t xml:space="preserve">Wednesday, </w:t>
      </w:r>
      <w:r w:rsidR="002F0C3C" w:rsidRPr="002F0C3C">
        <w:rPr>
          <w:rFonts w:ascii="Arial" w:hAnsi="Arial" w:cs="Arial"/>
          <w:sz w:val="18"/>
          <w:szCs w:val="18"/>
        </w:rPr>
        <w:t>November 26</w:t>
      </w:r>
      <w:r w:rsidR="00EA71E4" w:rsidRPr="002F0C3C">
        <w:rPr>
          <w:rFonts w:ascii="Arial" w:hAnsi="Arial" w:cs="Arial"/>
          <w:sz w:val="18"/>
          <w:szCs w:val="18"/>
        </w:rPr>
        <w:t>, 2014 @ 2:00PM CST</w:t>
      </w:r>
      <w:r>
        <w:rPr>
          <w:rFonts w:ascii="Arial" w:hAnsi="Arial" w:cs="Arial"/>
        </w:rPr>
        <w:t xml:space="preserve"> </w:t>
      </w:r>
    </w:p>
    <w:p w:rsidR="00534BC1" w:rsidRDefault="00534BC1" w:rsidP="00534BC1">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lastRenderedPageBreak/>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6"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lastRenderedPageBreak/>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7"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181778">
        <w:rPr>
          <w:rFonts w:ascii="Arial" w:hAnsi="Arial" w:cs="Arial"/>
          <w:b/>
          <w:bCs/>
          <w:szCs w:val="22"/>
        </w:rPr>
        <w:t xml:space="preserve">HUB Subcontracting Plans will be evaluated on </w:t>
      </w:r>
      <w:r w:rsidR="00EA71E4" w:rsidRPr="00EA71E4">
        <w:rPr>
          <w:rFonts w:ascii="Arial" w:hAnsi="Arial" w:cs="Arial"/>
          <w:b/>
          <w:bCs/>
          <w:szCs w:val="22"/>
        </w:rPr>
        <w:t xml:space="preserve">Wednesday, </w:t>
      </w:r>
      <w:r w:rsidR="002F0C3C">
        <w:rPr>
          <w:rFonts w:ascii="Arial" w:hAnsi="Arial" w:cs="Arial"/>
          <w:b/>
          <w:bCs/>
          <w:szCs w:val="22"/>
        </w:rPr>
        <w:t>November 26</w:t>
      </w:r>
      <w:r w:rsidR="00EA71E4" w:rsidRPr="00EA71E4">
        <w:rPr>
          <w:rFonts w:ascii="Arial" w:hAnsi="Arial" w:cs="Arial"/>
          <w:b/>
          <w:bCs/>
          <w:szCs w:val="22"/>
        </w:rPr>
        <w:t>, 2014</w:t>
      </w:r>
      <w:r w:rsidRPr="00181778">
        <w:rPr>
          <w:rFonts w:ascii="Arial" w:hAnsi="Arial" w:cs="Arial"/>
          <w:b/>
          <w:bCs/>
          <w:szCs w:val="22"/>
        </w:rPr>
        <w:t xml:space="preserve">. </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F02F7E" w:rsidRDefault="003E3579">
      <w:pPr>
        <w:rPr>
          <w:rFonts w:ascii="Arial" w:hAnsi="Arial" w:cs="Arial"/>
          <w:b/>
          <w:bCs/>
        </w:rPr>
      </w:pPr>
      <w:r w:rsidRPr="00F02F7E">
        <w:rPr>
          <w:rFonts w:ascii="Arial" w:hAnsi="Arial" w:cs="Arial"/>
          <w:b/>
          <w:bCs/>
        </w:rPr>
        <w:t>2.6</w:t>
      </w:r>
      <w:r w:rsidRPr="00F02F7E">
        <w:rPr>
          <w:rFonts w:ascii="Arial" w:hAnsi="Arial" w:cs="Arial"/>
          <w:b/>
          <w:bCs/>
        </w:rPr>
        <w:tab/>
        <w:t>Pre-</w:t>
      </w:r>
      <w:r w:rsidR="008577BE">
        <w:rPr>
          <w:rFonts w:ascii="Arial" w:hAnsi="Arial" w:cs="Arial"/>
          <w:b/>
          <w:bCs/>
        </w:rPr>
        <w:t>Bid Meeting &amp; Site Visit</w:t>
      </w:r>
    </w:p>
    <w:p w:rsidR="003E3579" w:rsidRPr="00F02F7E" w:rsidRDefault="003E3579">
      <w:pP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 xml:space="preserve">University will hold a </w:t>
      </w:r>
      <w:r w:rsidR="008577BE">
        <w:rPr>
          <w:rFonts w:ascii="Arial" w:hAnsi="Arial" w:cs="Arial"/>
          <w:bCs/>
          <w:color w:val="000000"/>
        </w:rPr>
        <w:t>pre-bid meeting</w:t>
      </w:r>
      <w:r w:rsidRPr="00F02F7E">
        <w:rPr>
          <w:rFonts w:ascii="Arial" w:hAnsi="Arial" w:cs="Arial"/>
          <w:bCs/>
          <w:color w:val="000000"/>
        </w:rPr>
        <w:t xml:space="preserve"> at </w:t>
      </w:r>
      <w:r w:rsidR="00E61B63">
        <w:rPr>
          <w:rFonts w:ascii="Arial" w:hAnsi="Arial" w:cs="Arial"/>
        </w:rPr>
        <w:t>9:30AM CST</w:t>
      </w:r>
      <w:r w:rsidRPr="00F02F7E">
        <w:rPr>
          <w:rFonts w:ascii="Arial" w:hAnsi="Arial" w:cs="Arial"/>
        </w:rPr>
        <w:t xml:space="preserve"> </w:t>
      </w:r>
      <w:r w:rsidRPr="00F02F7E">
        <w:rPr>
          <w:rFonts w:ascii="Arial" w:hAnsi="Arial" w:cs="Arial"/>
          <w:bCs/>
          <w:color w:val="000000"/>
        </w:rPr>
        <w:t xml:space="preserve">on </w:t>
      </w:r>
      <w:r w:rsidR="00E61B63">
        <w:rPr>
          <w:rFonts w:ascii="Arial" w:hAnsi="Arial" w:cs="Arial"/>
          <w:bCs/>
          <w:color w:val="000000"/>
        </w:rPr>
        <w:t>Thursday</w:t>
      </w:r>
      <w:r w:rsidRPr="00F02F7E">
        <w:rPr>
          <w:rFonts w:ascii="Arial" w:hAnsi="Arial" w:cs="Arial"/>
          <w:bCs/>
          <w:color w:val="000000"/>
        </w:rPr>
        <w:t xml:space="preserve">, </w:t>
      </w:r>
      <w:r w:rsidR="00E61B63">
        <w:rPr>
          <w:rFonts w:ascii="Arial" w:hAnsi="Arial" w:cs="Arial"/>
          <w:bCs/>
          <w:color w:val="000000"/>
        </w:rPr>
        <w:t>October, 30</w:t>
      </w:r>
      <w:r w:rsidRPr="00F02F7E">
        <w:rPr>
          <w:rFonts w:ascii="Arial" w:hAnsi="Arial" w:cs="Arial"/>
          <w:bCs/>
          <w:color w:val="000000"/>
        </w:rPr>
        <w:t xml:space="preserve">, </w:t>
      </w:r>
      <w:r w:rsidR="00021440" w:rsidRPr="00F02F7E">
        <w:rPr>
          <w:rFonts w:ascii="Arial" w:hAnsi="Arial" w:cs="Arial"/>
          <w:bCs/>
          <w:color w:val="000000"/>
        </w:rPr>
        <w:t>20</w:t>
      </w:r>
      <w:r w:rsidR="00EA71E4">
        <w:rPr>
          <w:rFonts w:ascii="Arial" w:hAnsi="Arial" w:cs="Arial"/>
          <w:bCs/>
          <w:color w:val="000000"/>
        </w:rPr>
        <w:t>14</w:t>
      </w:r>
      <w:r w:rsidRPr="00F02F7E">
        <w:rPr>
          <w:rFonts w:ascii="Arial" w:hAnsi="Arial" w:cs="Arial"/>
          <w:bCs/>
          <w:color w:val="000000"/>
        </w:rPr>
        <w:t xml:space="preserve">, in </w:t>
      </w:r>
      <w:r w:rsidR="00A90AD8">
        <w:rPr>
          <w:rFonts w:ascii="Arial" w:hAnsi="Arial" w:cs="Arial"/>
          <w:bCs/>
          <w:color w:val="000000"/>
        </w:rPr>
        <w:t xml:space="preserve">the Training </w:t>
      </w:r>
      <w:r w:rsidRPr="00F02F7E">
        <w:rPr>
          <w:rFonts w:ascii="Arial" w:hAnsi="Arial" w:cs="Arial"/>
          <w:bCs/>
          <w:color w:val="000000"/>
        </w:rPr>
        <w:t xml:space="preserve">Room of </w:t>
      </w:r>
      <w:r w:rsidR="00E61B63">
        <w:rPr>
          <w:rFonts w:ascii="Arial" w:hAnsi="Arial" w:cs="Arial"/>
          <w:bCs/>
          <w:color w:val="000000"/>
        </w:rPr>
        <w:t xml:space="preserve">the </w:t>
      </w:r>
      <w:r w:rsidR="00E61B63" w:rsidRPr="003E4B7C">
        <w:rPr>
          <w:rFonts w:cs="Arial"/>
          <w:szCs w:val="22"/>
        </w:rPr>
        <w:t>Cyclotron Building (CY</w:t>
      </w:r>
      <w:r w:rsidR="00E61B63">
        <w:rPr>
          <w:rFonts w:cs="Arial"/>
          <w:szCs w:val="22"/>
        </w:rPr>
        <w:t>F</w:t>
      </w:r>
      <w:r w:rsidR="00E61B63" w:rsidRPr="003E4B7C">
        <w:rPr>
          <w:rFonts w:cs="Arial"/>
          <w:szCs w:val="22"/>
        </w:rPr>
        <w:t>)</w:t>
      </w:r>
      <w:r w:rsidRPr="00F02F7E">
        <w:rPr>
          <w:rFonts w:ascii="Arial" w:hAnsi="Arial" w:cs="Arial"/>
          <w:bCs/>
          <w:color w:val="000000"/>
        </w:rPr>
        <w:t>. The pre</w:t>
      </w:r>
      <w:r w:rsidRPr="00F02F7E">
        <w:rPr>
          <w:rFonts w:ascii="Arial" w:hAnsi="Arial" w:cs="Arial"/>
          <w:bCs/>
          <w:color w:val="000000"/>
        </w:rPr>
        <w:noBreakHyphen/>
      </w:r>
      <w:r w:rsidR="00DD48B9">
        <w:rPr>
          <w:rFonts w:ascii="Arial" w:hAnsi="Arial" w:cs="Arial"/>
          <w:bCs/>
          <w:color w:val="000000"/>
        </w:rPr>
        <w:t>bid meeting</w:t>
      </w:r>
      <w:r w:rsidRPr="00F02F7E">
        <w:rPr>
          <w:rFonts w:ascii="Arial" w:hAnsi="Arial" w:cs="Arial"/>
          <w:bCs/>
          <w:color w:val="000000"/>
        </w:rPr>
        <w:t xml:space="preserve"> will allow all Proposers an opportunity to ask University’s representatives relevant questions and clarify provisions of this RFP.</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02F7E" w:rsidRPr="00F92830"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92830">
        <w:rPr>
          <w:rFonts w:ascii="Arial" w:hAnsi="Arial" w:cs="Arial"/>
        </w:rPr>
        <w:t xml:space="preserve">A </w:t>
      </w:r>
      <w:r w:rsidR="008577BE">
        <w:rPr>
          <w:rFonts w:ascii="Arial" w:hAnsi="Arial" w:cs="Arial"/>
        </w:rPr>
        <w:t>site visit</w:t>
      </w:r>
      <w:r w:rsidRPr="00F92830">
        <w:rPr>
          <w:rFonts w:ascii="Arial" w:hAnsi="Arial" w:cs="Arial"/>
        </w:rPr>
        <w:t xml:space="preserve"> of the areas related to this project will be included as a part of the </w:t>
      </w:r>
      <w:r w:rsidR="008577BE">
        <w:rPr>
          <w:rFonts w:ascii="Arial" w:hAnsi="Arial" w:cs="Arial"/>
        </w:rPr>
        <w:t>meeting</w:t>
      </w:r>
      <w:r w:rsidRPr="00F92830">
        <w:rPr>
          <w:rFonts w:ascii="Arial" w:hAnsi="Arial" w:cs="Arial"/>
        </w:rPr>
        <w:t xml:space="preserve"> agenda.  This may be the only opportunity for potential respondents to view the Project site(s) before the submittal of Bids.  Attendance at the pre-bid </w:t>
      </w:r>
      <w:r w:rsidR="008577BE">
        <w:rPr>
          <w:rFonts w:ascii="Arial" w:hAnsi="Arial" w:cs="Arial"/>
        </w:rPr>
        <w:t>meeting</w:t>
      </w:r>
      <w:r w:rsidRPr="00F92830">
        <w:rPr>
          <w:rFonts w:ascii="Arial" w:hAnsi="Arial" w:cs="Arial"/>
        </w:rPr>
        <w:t xml:space="preserve"> is not required.</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E61B63" w:rsidRDefault="00E61B63"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lastRenderedPageBreak/>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F92830" w:rsidP="00F92830">
      <w:pPr>
        <w:pStyle w:val="RFQHeading"/>
        <w:ind w:left="720"/>
        <w:jc w:val="both"/>
        <w:rPr>
          <w:rFonts w:ascii="Times New Roman" w:hAnsi="Times New Roman"/>
          <w:b w:val="0"/>
          <w:color w:val="auto"/>
          <w:sz w:val="22"/>
        </w:rPr>
      </w:pPr>
      <w:r w:rsidRPr="00F92830">
        <w:rPr>
          <w:b w:val="0"/>
          <w:color w:val="auto"/>
          <w:sz w:val="22"/>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Respondents are advised that the Texas Prevailing Wage Law will be administered in accordance with the most recent Davis-Bacon minimum wage requirements for Harris County, Texas. Rates can be obtained at </w:t>
      </w:r>
      <w:hyperlink r:id="rId18" w:history="1">
        <w:r w:rsidRPr="00F92830">
          <w:rPr>
            <w:b w:val="0"/>
            <w:color w:val="auto"/>
            <w:sz w:val="22"/>
            <w:szCs w:val="22"/>
          </w:rPr>
          <w:t>http://www.gpo.gov/davisbacon</w:t>
        </w:r>
      </w:hyperlink>
      <w:r w:rsidRPr="00F92830">
        <w:rPr>
          <w:b w:val="0"/>
          <w:color w:val="auto"/>
          <w:sz w:val="22"/>
          <w:szCs w:val="22"/>
        </w:rPr>
        <w:t>.</w:t>
      </w:r>
      <w:r w:rsidRPr="00F92830">
        <w:rPr>
          <w:sz w:val="22"/>
          <w:szCs w:val="22"/>
        </w:rPr>
        <w:t xml:space="preserve">  </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667F79">
        <w:rPr>
          <w:rFonts w:ascii="Arial" w:hAnsi="Arial" w:cs="Arial"/>
        </w:rPr>
        <w:t>six</w:t>
      </w:r>
      <w:r>
        <w:rPr>
          <w:rFonts w:ascii="Arial" w:hAnsi="Arial" w:cs="Arial"/>
        </w:rPr>
        <w:t xml:space="preserve"> (</w:t>
      </w:r>
      <w:r w:rsidR="00667F79">
        <w:rPr>
          <w:rFonts w:ascii="Arial" w:hAnsi="Arial" w:cs="Arial"/>
        </w:rPr>
        <w:t>6</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1851 Crosspoint,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r>
      <w:r w:rsidR="00BD0C03">
        <w:rPr>
          <w:rFonts w:ascii="Arial" w:hAnsi="Arial" w:cs="Arial"/>
        </w:rPr>
        <w:t xml:space="preserve">Attn:  </w:t>
      </w:r>
      <w:r w:rsidR="00667F79">
        <w:rPr>
          <w:rFonts w:ascii="Arial" w:hAnsi="Arial" w:cs="Arial"/>
        </w:rPr>
        <w:t xml:space="preserve">Michael Ochoa, </w:t>
      </w:r>
      <w:r w:rsidR="00667F79" w:rsidRPr="00667F79">
        <w:rPr>
          <w:rFonts w:ascii="Arial" w:hAnsi="Arial" w:cs="Arial"/>
          <w:sz w:val="18"/>
          <w:szCs w:val="18"/>
        </w:rPr>
        <w:t>C.P.M.</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w:t>
      </w:r>
      <w:r w:rsidRPr="00667F79">
        <w:rPr>
          <w:rFonts w:ascii="Arial" w:hAnsi="Arial" w:cs="Arial"/>
        </w:rPr>
        <w:t>must</w:t>
      </w:r>
      <w:r>
        <w:rPr>
          <w:rFonts w:ascii="Arial" w:hAnsi="Arial" w:cs="Arial"/>
        </w:rPr>
        <w:t xml:space="preserve">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B160F">
        <w:rPr>
          <w:b/>
        </w:rPr>
        <w:t>5</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667F79" w:rsidRDefault="003E3579" w:rsidP="002672D0">
      <w:pPr>
        <w:ind w:left="720" w:hanging="720"/>
        <w:rPr>
          <w:rFonts w:ascii="Arial" w:hAnsi="Arial" w:cs="Arial"/>
          <w:b/>
        </w:rPr>
      </w:pPr>
      <w:r>
        <w:rPr>
          <w:rFonts w:ascii="Arial" w:hAnsi="Arial" w:cs="Arial"/>
          <w:b/>
        </w:rPr>
        <w:t>5.2</w:t>
      </w:r>
      <w:r>
        <w:rPr>
          <w:rFonts w:ascii="Arial" w:hAnsi="Arial" w:cs="Arial"/>
          <w:b/>
        </w:rPr>
        <w:tab/>
      </w:r>
      <w:r w:rsidR="00667F79" w:rsidRPr="00667F79">
        <w:rPr>
          <w:rFonts w:ascii="Arial" w:hAnsi="Arial" w:cs="Arial"/>
          <w:b/>
        </w:rPr>
        <w:t>Minimum Qualification Requirements</w:t>
      </w:r>
    </w:p>
    <w:p w:rsidR="00667F79" w:rsidRDefault="00667F79" w:rsidP="002672D0">
      <w:pPr>
        <w:ind w:left="720" w:hanging="720"/>
        <w:rPr>
          <w:rFonts w:ascii="Arial" w:hAnsi="Arial" w:cs="Arial"/>
          <w:b/>
        </w:rPr>
      </w:pPr>
    </w:p>
    <w:p w:rsidR="000C6F24" w:rsidRPr="001B6772" w:rsidRDefault="000C6F24" w:rsidP="00667F79">
      <w:pPr>
        <w:ind w:left="720"/>
        <w:rPr>
          <w:rFonts w:ascii="Arial" w:hAnsi="Arial" w:cs="Arial"/>
          <w:bCs/>
          <w:color w:val="000000"/>
          <w:highlight w:val="lightGray"/>
        </w:rPr>
      </w:pPr>
      <w:r w:rsidRPr="00F92830">
        <w:rPr>
          <w:rFonts w:ascii="Arial" w:hAnsi="Arial" w:cs="Arial"/>
        </w:rPr>
        <w:t>Each Proposal must include information that clearly indicates that Proposer meets each of the following minimum qualification requirements</w:t>
      </w:r>
      <w:r w:rsidRPr="00F9283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2672D0" w:rsidRDefault="00F92830" w:rsidP="002672D0">
      <w:pPr>
        <w:numPr>
          <w:ilvl w:val="2"/>
          <w:numId w:val="1"/>
        </w:numPr>
        <w:rPr>
          <w:rFonts w:ascii="Arial" w:hAnsi="Arial" w:cs="Arial"/>
          <w:u w:val="single"/>
        </w:rPr>
      </w:pPr>
      <w:r w:rsidRPr="00496088">
        <w:rPr>
          <w:b/>
          <w:bCs/>
          <w:u w:val="single"/>
        </w:rPr>
        <w:t>You must include with your bid a letter of intent from a surety company indicating your firm’s ability to obtain payment and performance bonds for the entire construction cost of the project.</w:t>
      </w:r>
      <w:r w:rsidRPr="00496088">
        <w:rPr>
          <w:bCs/>
        </w:rPr>
        <w:t xml:space="preserve"> If you do not include this letter, your bid will be considered incomplete</w:t>
      </w:r>
      <w:r>
        <w:rPr>
          <w:bCs/>
        </w:rPr>
        <w:t xml:space="preserve"> and will be rejected</w:t>
      </w:r>
      <w:r w:rsidRPr="00496088">
        <w:rPr>
          <w:bCs/>
        </w:rPr>
        <w:t xml:space="preserve">.  The surety shall acknowledge that the firm may be bonded for each stage/phase of the project, with a potential maximum of the entire construction cost.  Bonding requirements are set forth in </w:t>
      </w:r>
      <w:r>
        <w:rPr>
          <w:bCs/>
        </w:rPr>
        <w:t>Article 5</w:t>
      </w:r>
      <w:r w:rsidRPr="00496088">
        <w:rPr>
          <w:bCs/>
        </w:rPr>
        <w:t xml:space="preserve"> of the Uniform General and Supplementary Conditions, see </w:t>
      </w:r>
      <w:r>
        <w:rPr>
          <w:bCs/>
        </w:rPr>
        <w:t>Appendix Nine.</w:t>
      </w:r>
      <w:r w:rsidR="002672D0">
        <w:rPr>
          <w:bCs/>
        </w:rPr>
        <w:br/>
      </w:r>
    </w:p>
    <w:p w:rsidR="00BD0C03" w:rsidRDefault="00667F79" w:rsidP="00BD0C03">
      <w:pPr>
        <w:numPr>
          <w:ilvl w:val="2"/>
          <w:numId w:val="1"/>
        </w:numPr>
        <w:rPr>
          <w:rFonts w:ascii="Arial" w:hAnsi="Arial" w:cs="Arial"/>
          <w:bCs/>
          <w:color w:val="000000"/>
        </w:rPr>
      </w:pPr>
      <w:r>
        <w:t>This project requires a full time on site supervisor with a minimum of 5 years’ experience with projects of similar size and must utilize skilled labor.</w:t>
      </w:r>
    </w:p>
    <w:p w:rsidR="00BD0C03" w:rsidRDefault="00BD0C03" w:rsidP="00BD0C03">
      <w:pPr>
        <w:ind w:left="720"/>
        <w:rPr>
          <w:rFonts w:ascii="Arial" w:hAnsi="Arial" w:cs="Arial"/>
          <w:bCs/>
          <w:color w:val="000000"/>
        </w:rPr>
      </w:pPr>
    </w:p>
    <w:p w:rsidR="005A53D8" w:rsidRDefault="005A53D8" w:rsidP="005A53D8">
      <w:pPr>
        <w:ind w:left="1440" w:hanging="720"/>
      </w:pPr>
      <w:r>
        <w:t>5.2.3</w:t>
      </w:r>
      <w:r>
        <w:tab/>
        <w:t>Contractor shall be approved by manufacturer to perform the work for the specified guarantee period.  Contractor shall have completed previous</w:t>
      </w:r>
    </w:p>
    <w:p w:rsidR="003E3579" w:rsidRDefault="000651EF" w:rsidP="005A53D8">
      <w:pPr>
        <w:ind w:left="720" w:firstLine="720"/>
        <w:rPr>
          <w:rFonts w:ascii="Arial" w:hAnsi="Arial" w:cs="Arial"/>
        </w:rPr>
      </w:pPr>
      <w:r>
        <w:t>p</w:t>
      </w:r>
      <w:r w:rsidR="005A53D8">
        <w:t>rojects utilizing same materials.</w:t>
      </w:r>
      <w:r w:rsidR="002672D0">
        <w:rPr>
          <w:rFonts w:ascii="Arial" w:hAnsi="Arial" w:cs="Arial"/>
        </w:rPr>
        <w:br/>
      </w: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BD0C03" w:rsidRDefault="00BD0C03" w:rsidP="005A53D8">
      <w:pPr>
        <w:ind w:left="1440" w:hanging="720"/>
        <w:rPr>
          <w:rFonts w:ascii="Arial" w:hAnsi="Arial" w:cs="Arial"/>
          <w:u w:val="single"/>
        </w:rPr>
      </w:pPr>
      <w:r>
        <w:rPr>
          <w:rFonts w:ascii="Arial" w:hAnsi="Arial" w:cs="Arial"/>
        </w:rPr>
        <w:t>5.3.1</w:t>
      </w:r>
      <w:r>
        <w:rPr>
          <w:rFonts w:ascii="Arial" w:hAnsi="Arial" w:cs="Arial"/>
        </w:rPr>
        <w:tab/>
      </w:r>
      <w:r w:rsidR="005A53D8">
        <w:t xml:space="preserve">Removal and replacement of the existing roof system, sheet metal components, and all associated accessories as described in the drawings </w:t>
      </w:r>
      <w:r w:rsidR="00D23A8A">
        <w:t>(</w:t>
      </w:r>
      <w:r w:rsidR="00D23A8A">
        <w:rPr>
          <w:b/>
        </w:rPr>
        <w:t>APPENDIX FOUR</w:t>
      </w:r>
      <w:r w:rsidR="00D23A8A">
        <w:t xml:space="preserve">) </w:t>
      </w:r>
      <w:r w:rsidR="005A53D8">
        <w:t>and specifications</w:t>
      </w:r>
      <w:r w:rsidR="00D23A8A">
        <w:t xml:space="preserve"> (</w:t>
      </w:r>
      <w:r w:rsidR="00D23A8A">
        <w:rPr>
          <w:b/>
        </w:rPr>
        <w:t>APPENDIX FIVE</w:t>
      </w:r>
      <w:r w:rsidR="00D23A8A">
        <w:t>)</w:t>
      </w:r>
      <w:r w:rsidR="005A53D8">
        <w:t>.</w:t>
      </w:r>
    </w:p>
    <w:p w:rsidR="00BD0C03" w:rsidRDefault="00BD0C03" w:rsidP="00BD0C03">
      <w:pPr>
        <w:ind w:left="720"/>
        <w:rPr>
          <w:rFonts w:ascii="Arial" w:hAnsi="Arial" w:cs="Arial"/>
          <w:u w:val="single"/>
        </w:rPr>
      </w:pPr>
    </w:p>
    <w:p w:rsidR="00F92830" w:rsidRPr="00F92830" w:rsidRDefault="00F92830" w:rsidP="00F92830">
      <w:pPr>
        <w:rPr>
          <w:rFonts w:ascii="Arial" w:hAnsi="Arial" w:cs="Arial"/>
          <w:b/>
        </w:rPr>
      </w:pPr>
      <w:r w:rsidRPr="00F92830">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F92830" w:rsidRPr="004E50A7" w:rsidRDefault="004E50A7" w:rsidP="004E50A7">
      <w:pPr>
        <w:tabs>
          <w:tab w:val="left" w:pos="10800"/>
        </w:tabs>
        <w:suppressAutoHyphens/>
        <w:ind w:left="720"/>
        <w:rPr>
          <w:rFonts w:ascii="Arial" w:hAnsi="Arial" w:cs="Arial"/>
        </w:rPr>
      </w:pPr>
      <w:r w:rsidRPr="004E50A7">
        <w:rPr>
          <w:rFonts w:ascii="Arial" w:hAnsi="Arial" w:cs="Arial"/>
        </w:rPr>
        <w:t xml:space="preserve">5.4.1  </w:t>
      </w:r>
      <w:r w:rsidR="00F92830" w:rsidRPr="004E50A7">
        <w:rPr>
          <w:rFonts w:ascii="Arial" w:hAnsi="Arial" w:cs="Arial"/>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4E50A7" w:rsidRDefault="00F92830" w:rsidP="00F92830">
      <w:pPr>
        <w:tabs>
          <w:tab w:val="num" w:pos="1080"/>
          <w:tab w:val="left" w:pos="10800"/>
        </w:tabs>
        <w:suppressAutoHyphens/>
        <w:rPr>
          <w:rFonts w:ascii="Arial" w:hAnsi="Arial" w:cs="Arial"/>
        </w:rPr>
      </w:pPr>
    </w:p>
    <w:p w:rsidR="00F92830" w:rsidRPr="004E50A7" w:rsidRDefault="004E50A7" w:rsidP="004E50A7">
      <w:pPr>
        <w:tabs>
          <w:tab w:val="left" w:pos="10800"/>
        </w:tabs>
        <w:suppressAutoHyphens/>
        <w:ind w:left="720"/>
        <w:rPr>
          <w:rFonts w:ascii="Arial" w:hAnsi="Arial" w:cs="Arial"/>
        </w:rPr>
      </w:pPr>
      <w:r w:rsidRPr="004E50A7">
        <w:rPr>
          <w:rFonts w:ascii="Arial" w:hAnsi="Arial" w:cs="Arial"/>
          <w:caps/>
        </w:rPr>
        <w:lastRenderedPageBreak/>
        <w:t xml:space="preserve">5.4.2   </w:t>
      </w:r>
      <w:r w:rsidR="00F92830" w:rsidRPr="004E50A7">
        <w:rPr>
          <w:rFonts w:ascii="Arial" w:hAnsi="Arial" w:cs="Arial"/>
          <w:caps/>
        </w:rPr>
        <w:t>Distribution</w:t>
      </w:r>
      <w:r w:rsidR="00F92830" w:rsidRPr="004E50A7">
        <w:rPr>
          <w:rFonts w:ascii="Arial" w:hAnsi="Arial" w:cs="Arial"/>
        </w:rPr>
        <w:t>:  Drawings for this project for Prime Bidding C</w:t>
      </w:r>
      <w:r w:rsidR="00E61B63">
        <w:rPr>
          <w:rFonts w:ascii="Arial" w:hAnsi="Arial" w:cs="Arial"/>
        </w:rPr>
        <w:t>ontractors may be obtained by visiting the UTHealth Procurement Services Bid Opportunities webpage;</w:t>
      </w:r>
      <w:r w:rsidR="00F92830" w:rsidRPr="004E50A7">
        <w:rPr>
          <w:rFonts w:ascii="Arial" w:hAnsi="Arial" w:cs="Arial"/>
        </w:rPr>
        <w:t xml:space="preserve">   </w:t>
      </w:r>
    </w:p>
    <w:p w:rsidR="00F92830" w:rsidRPr="004E50A7" w:rsidRDefault="00F92830" w:rsidP="00F92830">
      <w:pPr>
        <w:tabs>
          <w:tab w:val="left" w:pos="10800"/>
        </w:tabs>
        <w:suppressAutoHyphens/>
        <w:ind w:left="720"/>
        <w:rPr>
          <w:rFonts w:ascii="Arial" w:hAnsi="Arial" w:cs="Arial"/>
        </w:rPr>
      </w:pPr>
    </w:p>
    <w:p w:rsidR="00F92830" w:rsidRDefault="00A44E52" w:rsidP="00F92830">
      <w:pPr>
        <w:tabs>
          <w:tab w:val="left" w:pos="1080"/>
        </w:tabs>
        <w:ind w:left="720"/>
        <w:rPr>
          <w:rFonts w:ascii="Arial" w:hAnsi="Arial" w:cs="Arial"/>
        </w:rPr>
      </w:pPr>
      <w:hyperlink r:id="rId19" w:history="1">
        <w:r w:rsidR="00E61B63" w:rsidRPr="00292599">
          <w:rPr>
            <w:rStyle w:val="Hyperlink"/>
            <w:rFonts w:ascii="Arial" w:hAnsi="Arial" w:cs="Arial"/>
          </w:rPr>
          <w:t>http://www.uthouston.edu/buy/bid-list.htm</w:t>
        </w:r>
      </w:hyperlink>
    </w:p>
    <w:p w:rsidR="00F92830" w:rsidRPr="004E50A7" w:rsidRDefault="00F92830" w:rsidP="00F92830">
      <w:pPr>
        <w:tabs>
          <w:tab w:val="left" w:pos="1080"/>
        </w:tabs>
        <w:ind w:left="720"/>
        <w:rPr>
          <w:rFonts w:ascii="Arial" w:hAnsi="Arial" w:cs="Arial"/>
        </w:rPr>
      </w:pPr>
    </w:p>
    <w:p w:rsidR="008C2EFD" w:rsidRDefault="008C2EFD">
      <w:pPr>
        <w:rPr>
          <w:rFonts w:ascii="Arial" w:hAnsi="Arial" w:cs="Arial"/>
        </w:rPr>
      </w:pPr>
    </w:p>
    <w:p w:rsidR="003E3579" w:rsidRDefault="003E3579">
      <w:pPr>
        <w:rPr>
          <w:rFonts w:ascii="Arial" w:hAnsi="Arial" w:cs="Arial"/>
          <w:b/>
          <w:bCs/>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w:t>
      </w:r>
      <w:r w:rsidR="004E50A7">
        <w:t>5</w:t>
      </w:r>
      <w:r>
        <w:t>.1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3E3579" w:rsidRDefault="003E3579" w:rsidP="00FF6862">
      <w:pPr>
        <w:ind w:left="1440" w:hanging="720"/>
        <w:rPr>
          <w:rFonts w:ascii="Arial" w:eastAsia="Times New Roman" w:hAnsi="Arial" w:cs="Arial"/>
          <w:b/>
          <w:bCs/>
          <w:color w:val="000000"/>
          <w:szCs w:val="24"/>
        </w:rPr>
      </w:pPr>
      <w:r>
        <w:rPr>
          <w:rFonts w:ascii="Arial" w:hAnsi="Arial" w:cs="Arial"/>
        </w:rPr>
        <w:t>5.</w:t>
      </w:r>
      <w:r w:rsidR="004E50A7">
        <w:rPr>
          <w:rFonts w:ascii="Arial" w:hAnsi="Arial" w:cs="Arial"/>
        </w:rPr>
        <w:t>5</w:t>
      </w:r>
      <w:r w:rsidR="008C2EFD">
        <w:rPr>
          <w:rFonts w:ascii="Arial" w:hAnsi="Arial" w:cs="Arial"/>
        </w:rPr>
        <w:t>.2</w:t>
      </w:r>
      <w:r>
        <w:rPr>
          <w:rFonts w:ascii="Arial" w:hAnsi="Arial" w:cs="Arial"/>
        </w:rPr>
        <w:tab/>
      </w:r>
      <w:r w:rsidR="00A44E52">
        <w:rPr>
          <w:rFonts w:ascii="Arial" w:hAnsi="Arial" w:cs="Arial"/>
        </w:rPr>
        <w:t xml:space="preserve">Describe three examples of projects </w:t>
      </w:r>
      <w:r w:rsidR="00A44E52" w:rsidRPr="00A44E52">
        <w:rPr>
          <w:rFonts w:ascii="Arial" w:hAnsi="Arial" w:cs="Arial"/>
        </w:rPr>
        <w:t xml:space="preserve">using </w:t>
      </w:r>
      <w:r w:rsidR="00A44E52">
        <w:rPr>
          <w:rFonts w:ascii="Arial" w:hAnsi="Arial" w:cs="Arial"/>
        </w:rPr>
        <w:t xml:space="preserve">the </w:t>
      </w:r>
      <w:r w:rsidR="00A44E52" w:rsidRPr="00A44E52">
        <w:rPr>
          <w:rFonts w:ascii="Arial" w:hAnsi="Arial" w:cs="Arial"/>
        </w:rPr>
        <w:t>s</w:t>
      </w:r>
      <w:r w:rsidR="00A44E52" w:rsidRPr="00A44E52">
        <w:rPr>
          <w:rFonts w:ascii="Arial" w:hAnsi="Arial" w:cs="Arial"/>
        </w:rPr>
        <w:t>ame materials as noted in the Specifications that</w:t>
      </w:r>
      <w:r w:rsidR="00A44E52">
        <w:rPr>
          <w:rFonts w:ascii="Arial" w:hAnsi="Arial" w:cs="Arial"/>
        </w:rPr>
        <w:t xml:space="preserve"> your company recently completed and the name of an owner's representative that can be used as a reference.  Include a telephone number and email address.</w:t>
      </w:r>
    </w:p>
    <w:p w:rsidR="001B489C" w:rsidRDefault="001B489C" w:rsidP="00FF6862">
      <w:pPr>
        <w:ind w:left="1440" w:hanging="720"/>
        <w:rPr>
          <w:rFonts w:ascii="Arial" w:hAnsi="Arial" w:cs="Arial"/>
          <w:bCs/>
          <w:color w:val="000000"/>
        </w:rPr>
      </w:pPr>
      <w:bookmarkStart w:id="0" w:name="_GoBack"/>
      <w:bookmarkEnd w:id="0"/>
    </w:p>
    <w:p w:rsidR="00510EAA" w:rsidRPr="00B479C7"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.3</w:t>
      </w:r>
      <w:r w:rsidRPr="00A3532C">
        <w:rPr>
          <w:rFonts w:ascii="Arial" w:hAnsi="Arial" w:cs="Arial"/>
          <w:bCs/>
          <w:color w:val="000000"/>
        </w:rPr>
        <w:tab/>
      </w:r>
      <w:r w:rsidR="00A44E52">
        <w:rPr>
          <w:rFonts w:ascii="Arial" w:hAnsi="Arial" w:cs="Arial"/>
        </w:rPr>
        <w:t xml:space="preserve">Provide resumes for the project manager, </w:t>
      </w:r>
      <w:r w:rsidR="00A44E52" w:rsidRPr="00A44E52">
        <w:rPr>
          <w:rFonts w:ascii="Arial" w:hAnsi="Arial" w:cs="Arial"/>
        </w:rPr>
        <w:t>full-time site supervisor and</w:t>
      </w:r>
      <w:r w:rsidR="00A44E52">
        <w:rPr>
          <w:rFonts w:ascii="Arial" w:hAnsi="Arial" w:cs="Arial"/>
        </w:rPr>
        <w:t xml:space="preserve"> any other key staff that will be working on this project.</w:t>
      </w:r>
    </w:p>
    <w:p w:rsidR="00E36914" w:rsidRPr="00B479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2672D0" w:rsidRPr="002672D0" w:rsidRDefault="00E36914" w:rsidP="002672D0">
      <w:pPr>
        <w:ind w:left="1440" w:hanging="720"/>
        <w:jc w:val="left"/>
        <w:rPr>
          <w:rFonts w:ascii="Calibri" w:eastAsia="Times New Roman" w:hAnsi="Calibri"/>
          <w:color w:val="1F497D"/>
          <w:szCs w:val="22"/>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.4</w:t>
      </w:r>
      <w:r>
        <w:rPr>
          <w:rFonts w:ascii="Arial" w:hAnsi="Arial" w:cs="Arial"/>
          <w:bCs/>
          <w:color w:val="000000"/>
        </w:rPr>
        <w:tab/>
      </w:r>
      <w:r w:rsidR="002672D0" w:rsidRPr="002672D0">
        <w:rPr>
          <w:rFonts w:ascii="Arial" w:hAnsi="Arial" w:cs="Arial"/>
        </w:rPr>
        <w:t>Describe precautions that will be taken to insure the safety of the building occupants, protection of property and prevention of disruptions, such as noise, dust, odors and egress during normal business hours.  Also, describe your safety program and any project specific safety concerns associated with this project.</w:t>
      </w:r>
    </w:p>
    <w:p w:rsidR="00E36914" w:rsidRDefault="00E36914" w:rsidP="002672D0">
      <w:pPr>
        <w:pStyle w:val="ListParagraph"/>
        <w:keepNext/>
        <w:autoSpaceDE w:val="0"/>
        <w:autoSpaceDN w:val="0"/>
        <w:ind w:left="1440" w:hanging="720"/>
        <w:jc w:val="left"/>
        <w:rPr>
          <w:rFonts w:ascii="Arial" w:hAnsi="Arial" w:cs="Arial"/>
          <w:b/>
          <w:bCs/>
          <w:color w:val="000000"/>
          <w:highlight w:val="lightGray"/>
        </w:rPr>
      </w:pPr>
    </w:p>
    <w:p w:rsidR="008375F0" w:rsidRDefault="008375F0" w:rsidP="004701B6">
      <w:pPr>
        <w:ind w:left="1440" w:hanging="720"/>
        <w:rPr>
          <w:rFonts w:ascii="Arial" w:hAnsi="Arial" w:cs="Arial"/>
        </w:rPr>
      </w:pPr>
      <w:r w:rsidRPr="003D2894">
        <w:rPr>
          <w:rFonts w:ascii="Arial" w:hAnsi="Arial" w:cs="Arial"/>
          <w:bCs/>
          <w:color w:val="000000"/>
        </w:rPr>
        <w:t>5.</w:t>
      </w:r>
      <w:r w:rsidR="004E50A7">
        <w:rPr>
          <w:rFonts w:ascii="Arial" w:hAnsi="Arial" w:cs="Arial"/>
          <w:bCs/>
          <w:color w:val="000000"/>
        </w:rPr>
        <w:t>5</w:t>
      </w:r>
      <w:r w:rsidR="008C2EFD">
        <w:rPr>
          <w:rFonts w:ascii="Arial" w:hAnsi="Arial" w:cs="Arial"/>
          <w:bCs/>
          <w:color w:val="000000"/>
        </w:rPr>
        <w:t>.5</w:t>
      </w:r>
      <w:r>
        <w:rPr>
          <w:rFonts w:ascii="Arial" w:hAnsi="Arial" w:cs="Arial"/>
          <w:b/>
          <w:bCs/>
          <w:color w:val="000000"/>
        </w:rPr>
        <w:tab/>
      </w:r>
      <w:r w:rsidR="002672D0" w:rsidRPr="002672D0">
        <w:rPr>
          <w:rFonts w:ascii="Arial" w:hAnsi="Arial" w:cs="Arial"/>
        </w:rPr>
        <w:t>Describe your quality control/commissioning plan for this project.</w:t>
      </w:r>
    </w:p>
    <w:p w:rsidR="005A53D8" w:rsidRDefault="005A53D8" w:rsidP="004701B6">
      <w:pPr>
        <w:ind w:left="1440" w:hanging="720"/>
        <w:rPr>
          <w:rFonts w:ascii="Arial" w:hAnsi="Arial" w:cs="Arial"/>
          <w:b/>
          <w:bCs/>
          <w:color w:val="000000"/>
        </w:rPr>
      </w:pPr>
    </w:p>
    <w:p w:rsidR="005A53D8" w:rsidRPr="005A53D8" w:rsidRDefault="005A53D8" w:rsidP="004701B6">
      <w:pPr>
        <w:ind w:left="1440" w:hanging="720"/>
        <w:rPr>
          <w:rFonts w:ascii="Arial" w:hAnsi="Arial" w:cs="Arial"/>
          <w:bCs/>
          <w:color w:val="000000"/>
        </w:rPr>
      </w:pPr>
      <w:r w:rsidRPr="005A53D8">
        <w:rPr>
          <w:rFonts w:ascii="Arial" w:hAnsi="Arial" w:cs="Arial"/>
          <w:bCs/>
          <w:color w:val="000000"/>
        </w:rPr>
        <w:t>5.5.6</w:t>
      </w:r>
      <w:r w:rsidRPr="005A53D8">
        <w:rPr>
          <w:rFonts w:ascii="Arial" w:hAnsi="Arial" w:cs="Arial"/>
          <w:bCs/>
          <w:color w:val="000000"/>
        </w:rPr>
        <w:tab/>
        <w:t>What percentage of the work does your company self perform?</w:t>
      </w:r>
    </w:p>
    <w:p w:rsidR="005A53D8" w:rsidRPr="005A53D8" w:rsidRDefault="005A53D8" w:rsidP="004701B6">
      <w:pPr>
        <w:ind w:left="1440" w:hanging="720"/>
        <w:rPr>
          <w:rFonts w:ascii="Arial" w:hAnsi="Arial" w:cs="Arial"/>
          <w:bCs/>
          <w:color w:val="000000"/>
        </w:rPr>
      </w:pPr>
    </w:p>
    <w:p w:rsidR="005A53D8" w:rsidRDefault="005A53D8" w:rsidP="004701B6">
      <w:pPr>
        <w:ind w:left="1440" w:hanging="720"/>
        <w:rPr>
          <w:rFonts w:ascii="Arial" w:hAnsi="Arial" w:cs="Arial"/>
          <w:b/>
          <w:bCs/>
          <w:color w:val="000000"/>
        </w:rPr>
      </w:pPr>
      <w:r w:rsidRPr="005A53D8">
        <w:rPr>
          <w:rFonts w:ascii="Arial" w:hAnsi="Arial" w:cs="Arial"/>
          <w:bCs/>
          <w:color w:val="000000"/>
        </w:rPr>
        <w:t>5.5.7</w:t>
      </w:r>
      <w:r w:rsidRPr="005A53D8">
        <w:rPr>
          <w:rFonts w:ascii="Arial" w:hAnsi="Arial" w:cs="Arial"/>
          <w:bCs/>
          <w:color w:val="000000"/>
        </w:rPr>
        <w:tab/>
        <w:t>Provide a logistics plan for material hoisting including traffic planning practices typically managed by your company on projects.</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8C2EFD" w:rsidRPr="008C2EFD" w:rsidRDefault="008C2EFD" w:rsidP="008C2EFD">
      <w:pPr>
        <w:jc w:val="left"/>
        <w:rPr>
          <w:rFonts w:ascii="Arial" w:hAnsi="Arial" w:cs="Arial"/>
          <w:bCs/>
        </w:rPr>
      </w:pPr>
    </w:p>
    <w:p w:rsidR="008C2EFD" w:rsidRPr="008C2EFD" w:rsidRDefault="008C2EFD" w:rsidP="008C2EFD">
      <w:pPr>
        <w:jc w:val="left"/>
        <w:rPr>
          <w:rFonts w:ascii="Arial" w:hAnsi="Arial" w:cs="Arial"/>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2672D0">
      <w:pPr>
        <w:jc w:val="center"/>
        <w:rPr>
          <w:rFonts w:ascii="Arial" w:hAnsi="Arial" w:cs="Arial"/>
          <w:b/>
          <w:bCs/>
        </w:rPr>
      </w:pPr>
      <w:r>
        <w:rPr>
          <w:rFonts w:ascii="Arial" w:hAnsi="Arial" w:cs="Arial"/>
          <w:b/>
          <w:bCs/>
        </w:rPr>
        <w:br w:type="page"/>
      </w:r>
    </w:p>
    <w:p w:rsidR="003E3579" w:rsidRDefault="003E3579">
      <w:pPr>
        <w:jc w:val="center"/>
        <w:rPr>
          <w:rFonts w:ascii="Arial" w:hAnsi="Arial" w:cs="Arial"/>
          <w:b/>
          <w:bCs/>
          <w:u w:val="single"/>
        </w:rPr>
      </w:pPr>
      <w:r>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5A53D8">
        <w:rPr>
          <w:rFonts w:ascii="Arial" w:hAnsi="Arial" w:cs="Arial"/>
        </w:rPr>
        <w:t>CYF Roof Replacement</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A92478">
        <w:rPr>
          <w:rFonts w:ascii="Arial" w:hAnsi="Arial" w:cs="Arial"/>
        </w:rPr>
        <w:t>744-R</w:t>
      </w:r>
      <w:r w:rsidR="005A53D8">
        <w:rPr>
          <w:rFonts w:ascii="Arial" w:hAnsi="Arial" w:cs="Arial"/>
        </w:rPr>
        <w:t>1505  CYF Roof Replacement</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03625A" w:rsidRPr="00A44459" w:rsidRDefault="0003625A" w:rsidP="0003625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4E50A7">
        <w:rPr>
          <w:rFonts w:ascii="Arial" w:hAnsi="Arial" w:cs="Arial"/>
          <w:b/>
          <w:bCs/>
        </w:rPr>
        <w:t>Total Base Price</w:t>
      </w:r>
      <w:r>
        <w:rPr>
          <w:rFonts w:ascii="Arial" w:hAnsi="Arial" w:cs="Arial"/>
          <w:b/>
          <w:bCs/>
        </w:rPr>
        <w:t xml:space="preserve"> </w:t>
      </w:r>
    </w:p>
    <w:p w:rsidR="003E3579" w:rsidRDefault="003E3579">
      <w:pPr>
        <w:rPr>
          <w:rFonts w:ascii="Arial" w:hAnsi="Arial" w:cs="Arial"/>
        </w:rPr>
      </w:pPr>
    </w:p>
    <w:p w:rsidR="004E50A7" w:rsidRPr="004E50A7" w:rsidRDefault="004E50A7" w:rsidP="004E50A7">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4E50A7" w:rsidRPr="004E50A7" w:rsidRDefault="004E50A7" w:rsidP="004E50A7">
      <w:pPr>
        <w:tabs>
          <w:tab w:val="num" w:pos="1080"/>
          <w:tab w:val="left" w:pos="10800"/>
        </w:tabs>
        <w:suppressAutoHyphens/>
        <w:ind w:left="720" w:hanging="720"/>
        <w:rPr>
          <w:rFonts w:ascii="Arial" w:hAnsi="Arial" w:cs="Arial"/>
          <w:caps/>
          <w:szCs w:val="22"/>
        </w:rPr>
      </w:pPr>
    </w:p>
    <w:p w:rsidR="004E50A7" w:rsidRPr="004E50A7" w:rsidRDefault="004E50A7" w:rsidP="004E50A7">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Pr="004E50A7" w:rsidRDefault="004E50A7" w:rsidP="004E50A7">
      <w:pPr>
        <w:tabs>
          <w:tab w:val="num" w:pos="1080"/>
          <w:tab w:val="left" w:pos="10800"/>
        </w:tabs>
        <w:suppressAutoHyphens/>
        <w:rPr>
          <w:rFonts w:ascii="Arial" w:hAnsi="Arial" w:cs="Arial"/>
          <w:caps/>
          <w:szCs w:val="22"/>
          <w:u w:val="single"/>
        </w:rPr>
      </w:pPr>
    </w:p>
    <w:p w:rsidR="003E3579" w:rsidRPr="004E50A7" w:rsidRDefault="004E50A7" w:rsidP="004E50A7">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4E50A7" w:rsidRDefault="003E3579">
      <w:pPr>
        <w:rPr>
          <w:rFonts w:ascii="Arial" w:hAnsi="Arial" w:cs="Arial"/>
        </w:rPr>
      </w:pPr>
    </w:p>
    <w:p w:rsidR="004E50A7" w:rsidRPr="004E50A7" w:rsidRDefault="004E50A7">
      <w:pPr>
        <w:rPr>
          <w:rFonts w:ascii="Arial" w:hAnsi="Arial" w:cs="Arial"/>
        </w:rPr>
      </w:pPr>
      <w:r w:rsidRPr="004E50A7">
        <w:rPr>
          <w:rFonts w:ascii="Arial" w:hAnsi="Arial" w:cs="Arial"/>
        </w:rPr>
        <w:tab/>
        <w:t>6.1.1</w:t>
      </w:r>
      <w:r w:rsidRPr="004E50A7">
        <w:rPr>
          <w:rFonts w:ascii="Arial" w:hAnsi="Arial" w:cs="Arial"/>
        </w:rPr>
        <w:tab/>
        <w:t>Breakdown of Base Price</w:t>
      </w:r>
    </w:p>
    <w:p w:rsidR="004E50A7" w:rsidRPr="004E50A7" w:rsidRDefault="004E50A7" w:rsidP="004E50A7">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Materials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Labor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 xml:space="preserve">Total General Conditions </w:t>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Overhead</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r w:rsidRPr="004E50A7">
        <w:rPr>
          <w:rFonts w:ascii="Arial" w:hAnsi="Arial" w:cs="Arial"/>
          <w:szCs w:val="22"/>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Profit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p>
    <w:p w:rsidR="004E50A7" w:rsidRDefault="004E50A7" w:rsidP="004E50A7">
      <w:pPr>
        <w:rPr>
          <w:rFonts w:ascii="Arial" w:hAnsi="Arial" w:cs="Arial"/>
        </w:rPr>
      </w:pPr>
      <w:r w:rsidRPr="004E50A7">
        <w:rPr>
          <w:rFonts w:ascii="Arial" w:hAnsi="Arial" w:cs="Arial"/>
          <w:sz w:val="28"/>
          <w:szCs w:val="28"/>
        </w:rPr>
        <w:tab/>
      </w:r>
      <w:r w:rsidRPr="004E50A7">
        <w:rPr>
          <w:rFonts w:ascii="Arial" w:hAnsi="Arial" w:cs="Arial"/>
          <w:sz w:val="28"/>
          <w:szCs w:val="28"/>
          <w:highlight w:val="yellow"/>
        </w:rPr>
        <w:t>**Please provide a Schedule of Values along with your Pricing Bid**</w:t>
      </w:r>
    </w:p>
    <w:p w:rsidR="003E3579" w:rsidRDefault="003E3579">
      <w:pPr>
        <w:rPr>
          <w:rFonts w:ascii="Arial" w:hAnsi="Arial" w:cs="Arial"/>
          <w:b/>
          <w:bCs/>
        </w:rPr>
      </w:pPr>
      <w:r>
        <w:rPr>
          <w:rFonts w:ascii="Arial" w:hAnsi="Arial" w:cs="Arial"/>
          <w:b/>
          <w:bCs/>
        </w:rPr>
        <w:lastRenderedPageBreak/>
        <w:t>6.2</w:t>
      </w:r>
      <w:r>
        <w:rPr>
          <w:rFonts w:ascii="Arial" w:hAnsi="Arial" w:cs="Arial"/>
          <w:b/>
          <w:bCs/>
        </w:rPr>
        <w:tab/>
      </w:r>
      <w:r w:rsidR="004E50A7">
        <w:rPr>
          <w:rFonts w:ascii="Arial" w:hAnsi="Arial" w:cs="Arial"/>
          <w:b/>
          <w:bCs/>
        </w:rPr>
        <w:t>Base Delivery Schedule</w:t>
      </w:r>
      <w:r>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b/>
          <w:szCs w:val="22"/>
        </w:rPr>
      </w:pPr>
      <w:r>
        <w:rPr>
          <w:rFonts w:ascii="Arial" w:hAnsi="Arial" w:cs="Arial"/>
        </w:rPr>
        <w:tab/>
      </w:r>
      <w:r w:rsidR="004E50A7" w:rsidRPr="004E50A7">
        <w:rPr>
          <w:rFonts w:ascii="Arial" w:hAnsi="Arial" w:cs="Arial"/>
          <w:b/>
          <w:szCs w:val="22"/>
        </w:rPr>
        <w:t>Indicate total time for completion of entire project.</w:t>
      </w:r>
    </w:p>
    <w:p w:rsidR="004E50A7" w:rsidRDefault="004E50A7" w:rsidP="004E50A7">
      <w:pPr>
        <w:rPr>
          <w:szCs w:val="22"/>
        </w:rPr>
      </w:pPr>
    </w:p>
    <w:p w:rsidR="004E50A7" w:rsidRPr="004E50A7" w:rsidRDefault="004E50A7" w:rsidP="004E50A7">
      <w:pPr>
        <w:rPr>
          <w:rFonts w:ascii="Arial" w:hAnsi="Arial" w:cs="Arial"/>
          <w:szCs w:val="22"/>
        </w:rPr>
      </w:pPr>
      <w:r>
        <w:rPr>
          <w:szCs w:val="22"/>
        </w:rPr>
        <w:tab/>
      </w:r>
      <w:r w:rsidRPr="004E50A7">
        <w:rPr>
          <w:rFonts w:ascii="Arial" w:hAnsi="Arial" w:cs="Arial"/>
          <w:szCs w:val="22"/>
        </w:rPr>
        <w:t>Calendar Days to Complete</w:t>
      </w:r>
      <w:r w:rsidRPr="004E50A7">
        <w:rPr>
          <w:rFonts w:ascii="Arial" w:hAnsi="Arial" w:cs="Arial"/>
          <w:szCs w:val="22"/>
        </w:rPr>
        <w:tab/>
        <w:t>____________________</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UTHSC-H sufficiently in advance of inability to complete within the delivery schedule, shall grant UTHSC-H the option of imposing liquidated damages in the amount of fifteen </w:t>
      </w:r>
      <w:r w:rsidRPr="004E50A7">
        <w:rPr>
          <w:rFonts w:ascii="Arial" w:hAnsi="Arial" w:cs="Arial"/>
          <w:szCs w:val="22"/>
        </w:rPr>
        <w:tab/>
        <w:t>hundred dollars ($1,500.00) per calendar day.  Notwithstanding the foregoing, UTHSC-H shall have no obligation to accept late performance or waive timely performance by Contractor.</w:t>
      </w:r>
      <w:r w:rsidR="003E3579">
        <w:rPr>
          <w:rFonts w:ascii="Arial" w:hAnsi="Arial" w:cs="Arial"/>
        </w:rPr>
        <w:t xml:space="preserve"> </w:t>
      </w:r>
    </w:p>
    <w:p w:rsidR="004E50A7" w:rsidRDefault="004E50A7">
      <w:pPr>
        <w:rPr>
          <w:rFonts w:ascii="Arial" w:hAnsi="Arial" w:cs="Arial"/>
          <w:bCs/>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5A53D8">
        <w:rPr>
          <w:rFonts w:ascii="Arial" w:hAnsi="Arial" w:cs="Arial"/>
        </w:rPr>
        <w:t>ten</w:t>
      </w:r>
      <w:r>
        <w:rPr>
          <w:rFonts w:ascii="Arial" w:hAnsi="Arial" w:cs="Arial"/>
        </w:rPr>
        <w:t xml:space="preserve"> percent (</w:t>
      </w:r>
      <w:r w:rsidR="005A53D8">
        <w:rPr>
          <w:rFonts w:ascii="Arial" w:hAnsi="Arial" w:cs="Arial"/>
        </w:rPr>
        <w:t>10</w:t>
      </w:r>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sidR="00031AE6">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031AE6">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031AE6">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031AE6">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0"/>
          <w:footerReference w:type="default" r:id="rId21"/>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2"/>
          <w:footerReference w:type="default" r:id="rId23"/>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A92478">
        <w:rPr>
          <w:rFonts w:ascii="Arial" w:hAnsi="Arial" w:cs="Arial"/>
          <w:sz w:val="16"/>
        </w:rPr>
        <w:t>744-R</w:t>
      </w:r>
      <w:r w:rsidR="005A53D8">
        <w:rPr>
          <w:rFonts w:ascii="Arial" w:hAnsi="Arial" w:cs="Arial"/>
          <w:sz w:val="16"/>
        </w:rPr>
        <w:t>1505</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rsidP="00EB66D9">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EB66D9" w:rsidRDefault="00EB66D9">
      <w:pPr>
        <w:ind w:left="1440" w:hanging="720"/>
        <w:rPr>
          <w:rFonts w:ascii="Arial" w:hAnsi="Arial" w:cs="Arial"/>
          <w:sz w:val="16"/>
        </w:rPr>
        <w:sectPr w:rsidR="00EB66D9" w:rsidSect="00670548">
          <w:headerReference w:type="default" r:id="rId26"/>
          <w:pgSz w:w="12240" w:h="15840" w:code="1"/>
          <w:pgMar w:top="1152" w:right="1440" w:bottom="1008" w:left="1440" w:header="576" w:footer="576" w:gutter="0"/>
          <w:cols w:space="720"/>
        </w:sectPr>
      </w:pPr>
      <w:r>
        <w:rPr>
          <w:rFonts w:ascii="Arial" w:hAnsi="Arial" w:cs="Arial"/>
          <w:sz w:val="16"/>
        </w:rPr>
        <w:t>3.1.</w:t>
      </w:r>
      <w:r w:rsidR="00906551">
        <w:rPr>
          <w:rFonts w:ascii="Arial" w:hAnsi="Arial" w:cs="Arial"/>
          <w:sz w:val="16"/>
        </w:rPr>
        <w:t>7</w:t>
      </w:r>
      <w:r>
        <w:rPr>
          <w:rFonts w:ascii="Arial" w:hAnsi="Arial" w:cs="Arial"/>
          <w:sz w:val="16"/>
        </w:rPr>
        <w:tab/>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906551">
        <w:rPr>
          <w:rFonts w:ascii="Arial" w:hAnsi="Arial" w:cs="Arial"/>
          <w:sz w:val="18"/>
        </w:rPr>
        <w:t>CYF Roof Replacement</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906551">
        <w:rPr>
          <w:rFonts w:ascii="Arial" w:hAnsi="Arial" w:cs="Arial"/>
          <w:sz w:val="18"/>
        </w:rPr>
        <w:t>744-R1505  CYF Roof Replacement</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7"/>
          <w:pgSz w:w="12240" w:h="15840" w:code="1"/>
          <w:pgMar w:top="1152" w:right="1440" w:bottom="1008" w:left="1440" w:header="576" w:footer="576" w:gutter="0"/>
          <w:cols w:space="720"/>
        </w:sectPr>
      </w:pPr>
    </w:p>
    <w:p w:rsidR="00670D54" w:rsidRDefault="00670D54" w:rsidP="00670D54">
      <w:pPr>
        <w:pStyle w:val="Heading9"/>
        <w:jc w:val="center"/>
        <w:rPr>
          <w:sz w:val="28"/>
          <w:szCs w:val="28"/>
        </w:rPr>
      </w:pPr>
    </w:p>
    <w:p w:rsidR="00670D54" w:rsidRDefault="00670D54" w:rsidP="00670D54">
      <w:pPr>
        <w:pStyle w:val="Heading9"/>
        <w:jc w:val="center"/>
        <w:rPr>
          <w:sz w:val="28"/>
          <w:szCs w:val="28"/>
        </w:rPr>
      </w:pPr>
    </w:p>
    <w:p w:rsidR="003E3579" w:rsidRPr="00670D54" w:rsidRDefault="00670D54" w:rsidP="00670D54">
      <w:pPr>
        <w:pStyle w:val="Heading9"/>
        <w:jc w:val="center"/>
        <w:rPr>
          <w:sz w:val="28"/>
          <w:szCs w:val="28"/>
        </w:rPr>
      </w:pPr>
      <w:r w:rsidRPr="00670D54">
        <w:rPr>
          <w:sz w:val="28"/>
          <w:szCs w:val="28"/>
        </w:rPr>
        <w:t>THIS PAGE INTENTIONALLY BLANK</w:t>
      </w:r>
    </w:p>
    <w:sectPr w:rsidR="003E3579" w:rsidRPr="00670D54" w:rsidSect="001630AB">
      <w:footerReference w:type="default" r:id="rId28"/>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4D" w:rsidRDefault="004F3A4D">
      <w:r>
        <w:separator/>
      </w:r>
    </w:p>
  </w:endnote>
  <w:endnote w:type="continuationSeparator" w:id="0">
    <w:p w:rsidR="004F3A4D" w:rsidRDefault="004F3A4D">
      <w:r>
        <w:continuationSeparator/>
      </w:r>
    </w:p>
  </w:endnote>
  <w:endnote w:type="continuationNotice" w:id="1">
    <w:p w:rsidR="004F3A4D" w:rsidRDefault="004F3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pPr>
      <w:pStyle w:val="Footer"/>
      <w:tabs>
        <w:tab w:val="left" w:pos="0"/>
      </w:tabs>
      <w:ind w:left="0"/>
      <w:jc w:val="center"/>
    </w:pPr>
    <w:r>
      <w:t xml:space="preserve">- </w:t>
    </w:r>
    <w:r>
      <w:fldChar w:fldCharType="begin"/>
    </w:r>
    <w:r>
      <w:instrText xml:space="preserve"> PAGE </w:instrText>
    </w:r>
    <w:r>
      <w:fldChar w:fldCharType="separate"/>
    </w:r>
    <w:r w:rsidR="00A44E52">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3E2EB6">
    <w:pPr>
      <w:pStyle w:val="Footer"/>
      <w:ind w:left="0"/>
      <w:jc w:val="center"/>
    </w:pPr>
    <w:r>
      <w:t>RFP 744-R1505 CYF Roof Replacement</w:t>
    </w:r>
  </w:p>
  <w:p w:rsidR="004F3A4D" w:rsidRDefault="004F3A4D">
    <w:pPr>
      <w:pStyle w:val="Footer"/>
      <w:ind w:left="0"/>
      <w:jc w:val="center"/>
    </w:pPr>
    <w:r>
      <w:t xml:space="preserve">Page </w:t>
    </w:r>
    <w:r>
      <w:fldChar w:fldCharType="begin"/>
    </w:r>
    <w:r>
      <w:instrText xml:space="preserve"> PAGE </w:instrText>
    </w:r>
    <w:r>
      <w:fldChar w:fldCharType="separate"/>
    </w:r>
    <w:r w:rsidR="00A44E52">
      <w:rPr>
        <w:noProof/>
      </w:rPr>
      <w:t>12</w:t>
    </w:r>
    <w:r>
      <w:rPr>
        <w:noProof/>
      </w:rPr>
      <w:fldChar w:fldCharType="end"/>
    </w:r>
    <w:r>
      <w:t xml:space="preserve"> of 1</w:t>
    </w:r>
    <w:r w:rsidR="005F1378">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rsidP="001949DF">
    <w:pPr>
      <w:pStyle w:val="Footer"/>
      <w:tabs>
        <w:tab w:val="left" w:pos="0"/>
      </w:tabs>
      <w:ind w:left="0"/>
      <w:jc w:val="center"/>
    </w:pPr>
    <w:r>
      <w:t xml:space="preserve">- </w:t>
    </w:r>
    <w:r>
      <w:fldChar w:fldCharType="begin"/>
    </w:r>
    <w:r>
      <w:instrText xml:space="preserve"> PAGE </w:instrText>
    </w:r>
    <w:r>
      <w:fldChar w:fldCharType="separate"/>
    </w:r>
    <w:r w:rsidR="00A44E52">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pPr>
      <w:pStyle w:val="Footer"/>
      <w:ind w:left="0"/>
      <w:jc w:val="center"/>
    </w:pPr>
  </w:p>
  <w:p w:rsidR="004F3A4D" w:rsidRDefault="004F3A4D">
    <w:pPr>
      <w:pStyle w:val="Footer"/>
      <w:ind w:left="0"/>
      <w:jc w:val="center"/>
    </w:pPr>
    <w:r>
      <w:t>APPENDIX ONE</w:t>
    </w:r>
  </w:p>
  <w:p w:rsidR="004F3A4D" w:rsidRDefault="004F3A4D">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44E52">
      <w:rPr>
        <w:rStyle w:val="PageNumber"/>
        <w:noProof/>
      </w:rPr>
      <w:t>9</w:t>
    </w:r>
    <w:r>
      <w:rPr>
        <w:rStyle w:val="PageNumber"/>
      </w:rPr>
      <w:fldChar w:fldCharType="end"/>
    </w:r>
    <w:r>
      <w:rPr>
        <w:rStyle w:val="PageNumber"/>
      </w:rPr>
      <w:t xml:space="preserve"> </w:t>
    </w:r>
    <w:r>
      <w:t xml:space="preserve">of </w:t>
    </w:r>
    <w:r w:rsidR="00031AE6">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Pr="00670D54" w:rsidRDefault="004F3A4D" w:rsidP="00670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4D" w:rsidRDefault="004F3A4D">
      <w:r>
        <w:separator/>
      </w:r>
    </w:p>
  </w:footnote>
  <w:footnote w:type="continuationSeparator" w:id="0">
    <w:p w:rsidR="004F3A4D" w:rsidRDefault="004F3A4D">
      <w:r>
        <w:continuationSeparator/>
      </w:r>
    </w:p>
  </w:footnote>
  <w:footnote w:type="continuationNotice" w:id="1">
    <w:p w:rsidR="004F3A4D" w:rsidRDefault="004F3A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Pr="005270F8" w:rsidRDefault="004F3A4D"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4D" w:rsidRDefault="004F3A4D">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3"/>
  </w:num>
  <w:num w:numId="2">
    <w:abstractNumId w:val="11"/>
  </w:num>
  <w:num w:numId="3">
    <w:abstractNumId w:val="10"/>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1AE6"/>
    <w:rsid w:val="000333AF"/>
    <w:rsid w:val="00034C34"/>
    <w:rsid w:val="0003625A"/>
    <w:rsid w:val="000362D6"/>
    <w:rsid w:val="00040D6E"/>
    <w:rsid w:val="00042D70"/>
    <w:rsid w:val="00042FC2"/>
    <w:rsid w:val="000445FE"/>
    <w:rsid w:val="00051AD8"/>
    <w:rsid w:val="00061515"/>
    <w:rsid w:val="000651EF"/>
    <w:rsid w:val="00071B2C"/>
    <w:rsid w:val="00073ADD"/>
    <w:rsid w:val="000742E2"/>
    <w:rsid w:val="00081E90"/>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17D3"/>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0C3C"/>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5438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2EB6"/>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3A4D"/>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62D87"/>
    <w:rsid w:val="00565AB1"/>
    <w:rsid w:val="00570A3D"/>
    <w:rsid w:val="00580315"/>
    <w:rsid w:val="00581DBD"/>
    <w:rsid w:val="005866B3"/>
    <w:rsid w:val="00586E39"/>
    <w:rsid w:val="00587FFB"/>
    <w:rsid w:val="00595A8C"/>
    <w:rsid w:val="00597EA0"/>
    <w:rsid w:val="00597FBE"/>
    <w:rsid w:val="005A0E2B"/>
    <w:rsid w:val="005A53D8"/>
    <w:rsid w:val="005A6E3E"/>
    <w:rsid w:val="005B2B9B"/>
    <w:rsid w:val="005B3863"/>
    <w:rsid w:val="005B5530"/>
    <w:rsid w:val="005C0027"/>
    <w:rsid w:val="005C0AAD"/>
    <w:rsid w:val="005C0AEA"/>
    <w:rsid w:val="005D7DD2"/>
    <w:rsid w:val="005E05B4"/>
    <w:rsid w:val="005E3C0C"/>
    <w:rsid w:val="005E4452"/>
    <w:rsid w:val="005F1378"/>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67F79"/>
    <w:rsid w:val="00670548"/>
    <w:rsid w:val="00670A0F"/>
    <w:rsid w:val="00670D54"/>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577BE"/>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06551"/>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4E52"/>
    <w:rsid w:val="00A463B7"/>
    <w:rsid w:val="00A51270"/>
    <w:rsid w:val="00A62464"/>
    <w:rsid w:val="00A62860"/>
    <w:rsid w:val="00A635A7"/>
    <w:rsid w:val="00A672B0"/>
    <w:rsid w:val="00A71683"/>
    <w:rsid w:val="00A72024"/>
    <w:rsid w:val="00A74D0C"/>
    <w:rsid w:val="00A772ED"/>
    <w:rsid w:val="00A87143"/>
    <w:rsid w:val="00A903B0"/>
    <w:rsid w:val="00A90AD8"/>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568"/>
    <w:rsid w:val="00BD1DC7"/>
    <w:rsid w:val="00BD2D3F"/>
    <w:rsid w:val="00BE168A"/>
    <w:rsid w:val="00BE2D29"/>
    <w:rsid w:val="00BE4B9E"/>
    <w:rsid w:val="00BE4D02"/>
    <w:rsid w:val="00BF1BD9"/>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3984"/>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3A8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48B9"/>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1B63"/>
    <w:rsid w:val="00E646C3"/>
    <w:rsid w:val="00E735CE"/>
    <w:rsid w:val="00E74274"/>
    <w:rsid w:val="00E82581"/>
    <w:rsid w:val="00E83082"/>
    <w:rsid w:val="00E91EFD"/>
    <w:rsid w:val="00EA28A7"/>
    <w:rsid w:val="00EA56EA"/>
    <w:rsid w:val="00EA62F8"/>
    <w:rsid w:val="00EA71E4"/>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18873238">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72310982">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gpo.gov/davisbacon"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system.edu/institutions" TargetMode="External"/><Relationship Id="rId17" Type="http://schemas.openxmlformats.org/officeDocument/2006/relationships/hyperlink" Target="file:///G:\Purchasing\Standard%20Forms_Contracts_Bids\Bidding\IFO's\Shaun.A.McGowan@uth.tmc.edu"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Shaun.A.McGowan@uth.tmc.ed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Michael.Ochoa@uth.tme.edu"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uthouston.edu/buy/bid-list.htm" TargetMode="Externa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9054</Words>
  <Characters>52281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4</cp:revision>
  <cp:lastPrinted>2014-10-22T14:40:00Z</cp:lastPrinted>
  <dcterms:created xsi:type="dcterms:W3CDTF">2014-10-22T15:18:00Z</dcterms:created>
  <dcterms:modified xsi:type="dcterms:W3CDTF">2014-10-22T17:24:00Z</dcterms:modified>
</cp:coreProperties>
</file>